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6C9245" w14:textId="51627C86" w:rsidR="002244FB" w:rsidRPr="005A5862" w:rsidRDefault="002244FB" w:rsidP="002244FB">
      <w:pPr>
        <w:pStyle w:val="Header"/>
        <w:tabs>
          <w:tab w:val="right" w:pos="9639"/>
        </w:tabs>
        <w:rPr>
          <w:bCs/>
          <w:i/>
          <w:noProof w:val="0"/>
          <w:sz w:val="24"/>
          <w:szCs w:val="24"/>
        </w:rPr>
      </w:pPr>
      <w:r w:rsidRPr="005A5862">
        <w:rPr>
          <w:bCs/>
          <w:noProof w:val="0"/>
          <w:sz w:val="24"/>
          <w:szCs w:val="24"/>
        </w:rPr>
        <w:t>3GPP TSG-RAN WG2 Meeting #12</w:t>
      </w:r>
      <w:r>
        <w:rPr>
          <w:bCs/>
          <w:noProof w:val="0"/>
          <w:sz w:val="24"/>
          <w:szCs w:val="24"/>
        </w:rPr>
        <w:t>8</w:t>
      </w:r>
      <w:r w:rsidRPr="005A5862">
        <w:rPr>
          <w:bCs/>
          <w:noProof w:val="0"/>
          <w:sz w:val="24"/>
          <w:szCs w:val="24"/>
        </w:rPr>
        <w:tab/>
        <w:t>R2-24</w:t>
      </w:r>
      <w:r w:rsidR="00FD1070">
        <w:rPr>
          <w:bCs/>
          <w:noProof w:val="0"/>
          <w:sz w:val="24"/>
          <w:szCs w:val="24"/>
        </w:rPr>
        <w:t>10213</w:t>
      </w:r>
    </w:p>
    <w:p w14:paraId="17342C5F" w14:textId="6AAE713E" w:rsidR="002244FB" w:rsidRPr="0058646B" w:rsidRDefault="002244FB" w:rsidP="002244FB">
      <w:pPr>
        <w:pStyle w:val="Header"/>
        <w:tabs>
          <w:tab w:val="right" w:pos="9641"/>
        </w:tabs>
        <w:rPr>
          <w:rFonts w:eastAsia="SimSun"/>
          <w:bCs/>
          <w:sz w:val="24"/>
          <w:szCs w:val="24"/>
          <w:lang w:val="en-US" w:eastAsia="zh-CN"/>
        </w:rPr>
      </w:pPr>
      <w:r w:rsidRPr="0058646B">
        <w:rPr>
          <w:sz w:val="24"/>
          <w:lang w:val="en-US"/>
        </w:rPr>
        <w:t>Orlando, USA, 18 – 22 November 2024</w:t>
      </w:r>
      <w:r w:rsidRPr="0058646B">
        <w:rPr>
          <w:sz w:val="24"/>
          <w:lang w:val="en-US"/>
        </w:rPr>
        <w:tab/>
      </w:r>
      <w:r w:rsidRPr="0058646B">
        <w:rPr>
          <w:i/>
          <w:iCs/>
          <w:sz w:val="24"/>
          <w:lang w:val="en-US"/>
        </w:rPr>
        <w:t>R2-2408699</w:t>
      </w:r>
      <w:r w:rsidRPr="0058646B">
        <w:rPr>
          <w:sz w:val="24"/>
          <w:lang w:val="en-US"/>
        </w:rPr>
        <w:tab/>
      </w:r>
    </w:p>
    <w:p w14:paraId="4797010B" w14:textId="77777777" w:rsidR="002244FB" w:rsidRPr="0058646B" w:rsidRDefault="002244FB" w:rsidP="002244FB">
      <w:pPr>
        <w:pStyle w:val="Header"/>
        <w:rPr>
          <w:bCs/>
          <w:noProof w:val="0"/>
          <w:sz w:val="24"/>
          <w:lang w:val="en-US"/>
        </w:rPr>
      </w:pPr>
    </w:p>
    <w:p w14:paraId="310B92C9" w14:textId="318364F7" w:rsidR="00446C3A" w:rsidRPr="006B60F3" w:rsidRDefault="00446C3A" w:rsidP="00446C3A">
      <w:pPr>
        <w:pStyle w:val="CRCoverPage"/>
        <w:tabs>
          <w:tab w:val="left" w:pos="1985"/>
        </w:tabs>
        <w:rPr>
          <w:rFonts w:cs="Arial"/>
          <w:b/>
          <w:sz w:val="24"/>
          <w:lang w:val="pt-BR" w:eastAsia="ja-JP"/>
        </w:rPr>
      </w:pPr>
      <w:r w:rsidRPr="006B60F3">
        <w:rPr>
          <w:rFonts w:cs="Arial"/>
          <w:b/>
          <w:sz w:val="24"/>
          <w:lang w:val="pt-BR"/>
        </w:rPr>
        <w:t>Agenda item:</w:t>
      </w:r>
      <w:r w:rsidRPr="006B60F3">
        <w:rPr>
          <w:rFonts w:cs="Arial"/>
          <w:b/>
          <w:sz w:val="24"/>
          <w:lang w:val="pt-BR"/>
        </w:rPr>
        <w:tab/>
      </w:r>
      <w:r w:rsidR="00592930" w:rsidRPr="006B60F3">
        <w:rPr>
          <w:rFonts w:cs="Arial"/>
          <w:b/>
          <w:sz w:val="24"/>
          <w:lang w:val="pt-BR" w:eastAsia="ja-JP"/>
        </w:rPr>
        <w:t>8</w:t>
      </w:r>
      <w:r w:rsidRPr="006B60F3">
        <w:rPr>
          <w:rFonts w:cs="Arial"/>
          <w:b/>
          <w:sz w:val="24"/>
          <w:lang w:val="pt-BR" w:eastAsia="ja-JP"/>
        </w:rPr>
        <w:t>.</w:t>
      </w:r>
      <w:r w:rsidR="00592930" w:rsidRPr="006B60F3">
        <w:rPr>
          <w:rFonts w:cs="Arial"/>
          <w:b/>
          <w:sz w:val="24"/>
          <w:lang w:val="pt-BR" w:eastAsia="ja-JP"/>
        </w:rPr>
        <w:t>8</w:t>
      </w:r>
      <w:r w:rsidRPr="006B60F3">
        <w:rPr>
          <w:rFonts w:cs="Arial"/>
          <w:b/>
          <w:sz w:val="24"/>
          <w:lang w:val="pt-BR" w:eastAsia="ja-JP"/>
        </w:rPr>
        <w:t>.</w:t>
      </w:r>
      <w:r w:rsidR="00592930" w:rsidRPr="006B60F3">
        <w:rPr>
          <w:rFonts w:cs="Arial"/>
          <w:b/>
          <w:sz w:val="24"/>
          <w:lang w:val="pt-BR" w:eastAsia="ja-JP"/>
        </w:rPr>
        <w:t>2</w:t>
      </w:r>
    </w:p>
    <w:p w14:paraId="73188B46" w14:textId="3F12B31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530829">
        <w:rPr>
          <w:rFonts w:ascii="Arial" w:hAnsi="Arial" w:cs="Arial"/>
          <w:b/>
          <w:bCs/>
          <w:sz w:val="24"/>
        </w:rPr>
        <w:t xml:space="preserve">, Nokia </w:t>
      </w:r>
      <w:r w:rsidR="000F31E7">
        <w:rPr>
          <w:rFonts w:ascii="Arial" w:hAnsi="Arial" w:cs="Arial"/>
          <w:b/>
          <w:bCs/>
          <w:sz w:val="24"/>
        </w:rPr>
        <w:t>Shanghai Bell</w:t>
      </w:r>
    </w:p>
    <w:p w14:paraId="553D264F" w14:textId="75708EB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F1EC8">
        <w:rPr>
          <w:rFonts w:ascii="Arial" w:hAnsi="Arial" w:cs="Arial"/>
          <w:b/>
          <w:bCs/>
          <w:sz w:val="24"/>
        </w:rPr>
        <w:t>Discussion on NTN downlink coverage enhancement</w:t>
      </w:r>
    </w:p>
    <w:p w14:paraId="25F387E8" w14:textId="3BB355E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344A1" w:rsidRPr="003344A1">
        <w:rPr>
          <w:rFonts w:ascii="Arial" w:hAnsi="Arial" w:cs="Arial"/>
          <w:b/>
          <w:bCs/>
          <w:sz w:val="24"/>
        </w:rPr>
        <w:t>NR_NTN_Ph3-Core</w:t>
      </w:r>
      <w:r w:rsidRPr="00112F1A">
        <w:rPr>
          <w:rFonts w:ascii="Arial" w:hAnsi="Arial" w:cs="Arial"/>
          <w:b/>
          <w:bCs/>
          <w:sz w:val="24"/>
        </w:rPr>
        <w:t xml:space="preserve"> </w:t>
      </w:r>
      <w:r>
        <w:rPr>
          <w:rFonts w:ascii="Arial" w:hAnsi="Arial" w:cs="Arial"/>
          <w:b/>
          <w:bCs/>
          <w:sz w:val="24"/>
        </w:rPr>
        <w:t xml:space="preserve">- Release </w:t>
      </w:r>
      <w:r w:rsidR="00F05BD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180F7294" w:rsidR="00A209D6" w:rsidRPr="006E13D1" w:rsidRDefault="00A209D6" w:rsidP="00A209D6">
      <w:pPr>
        <w:pStyle w:val="Heading1"/>
      </w:pPr>
      <w:r w:rsidRPr="006E13D1">
        <w:t>1</w:t>
      </w:r>
      <w:r w:rsidRPr="006E13D1">
        <w:tab/>
      </w:r>
      <w:r>
        <w:t>Introduction</w:t>
      </w:r>
    </w:p>
    <w:p w14:paraId="239D97EB" w14:textId="35C99D5F" w:rsidR="00A6742D" w:rsidRDefault="00A6742D" w:rsidP="009339CB">
      <w:r>
        <w:t xml:space="preserve">This Tdoc handles the reply LS to </w:t>
      </w:r>
      <w:hyperlink r:id="rId13" w:history="1">
        <w:r w:rsidR="006D48E8" w:rsidRPr="000034A5">
          <w:rPr>
            <w:rStyle w:val="Hyperlink"/>
          </w:rPr>
          <w:t>R2-2405767</w:t>
        </w:r>
      </w:hyperlink>
      <w:r>
        <w:t xml:space="preserve"> on downlink coverage enhancement in </w:t>
      </w:r>
      <w:hyperlink r:id="rId14" w:history="1">
        <w:r w:rsidR="006D48E8" w:rsidRPr="00862702">
          <w:rPr>
            <w:rStyle w:val="Hyperlink"/>
          </w:rPr>
          <w:t>R1-2407538</w:t>
        </w:r>
      </w:hyperlink>
      <w:r>
        <w:t xml:space="preserve">, </w:t>
      </w:r>
      <w:r w:rsidR="00F757B9">
        <w:t>which was not treated in the meeting it was incoming (RAN2#127-bis). Furthermore, we</w:t>
      </w:r>
      <w:r>
        <w:t xml:space="preserve"> look at the further scope of the downlink coverage enhancement study.</w:t>
      </w:r>
    </w:p>
    <w:p w14:paraId="7D484B6E" w14:textId="0CF80111" w:rsidR="009339CB" w:rsidRPr="006E13D1" w:rsidRDefault="009339CB" w:rsidP="009339CB">
      <w:pPr>
        <w:pStyle w:val="Heading1"/>
      </w:pPr>
      <w:r w:rsidRPr="006E13D1">
        <w:t>2</w:t>
      </w:r>
      <w:r w:rsidRPr="006E13D1">
        <w:tab/>
      </w:r>
      <w:r w:rsidR="00791032">
        <w:t>Discussion</w:t>
      </w:r>
    </w:p>
    <w:p w14:paraId="5982B445" w14:textId="5BD81583" w:rsidR="009339CB" w:rsidRDefault="009339CB" w:rsidP="009339CB">
      <w:pPr>
        <w:pStyle w:val="Heading2"/>
      </w:pPr>
      <w:r>
        <w:t>2</w:t>
      </w:r>
      <w:r w:rsidRPr="006E13D1">
        <w:t>.1</w:t>
      </w:r>
      <w:r w:rsidRPr="006E13D1">
        <w:tab/>
      </w:r>
      <w:r w:rsidR="00A6742D">
        <w:t>Discussion on RAN1 reply</w:t>
      </w:r>
    </w:p>
    <w:p w14:paraId="1BBF26CF" w14:textId="17690234" w:rsidR="00A6742D" w:rsidRDefault="00A6742D" w:rsidP="00A6742D">
      <w:r>
        <w:t xml:space="preserve">The RAN1 reply in </w:t>
      </w:r>
      <w:hyperlink r:id="rId15" w:history="1">
        <w:r w:rsidR="006D48E8" w:rsidRPr="0086024C">
          <w:rPr>
            <w:rStyle w:val="Hyperlink"/>
          </w:rPr>
          <w:t>R1-2407538</w:t>
        </w:r>
      </w:hyperlink>
      <w:r>
        <w:t xml:space="preserve"> </w:t>
      </w:r>
      <w:r w:rsidR="006D48E8">
        <w:t>answers</w:t>
      </w:r>
      <w:r>
        <w:t xml:space="preserve"> the following</w:t>
      </w:r>
      <w:r w:rsidR="006D48E8">
        <w:t xml:space="preserve"> questions</w:t>
      </w:r>
      <w:r>
        <w:t>;</w:t>
      </w:r>
    </w:p>
    <w:tbl>
      <w:tblPr>
        <w:tblStyle w:val="TableGrid"/>
        <w:tblW w:w="0" w:type="auto"/>
        <w:tblLook w:val="04A0" w:firstRow="1" w:lastRow="0" w:firstColumn="1" w:lastColumn="0" w:noHBand="0" w:noVBand="1"/>
      </w:tblPr>
      <w:tblGrid>
        <w:gridCol w:w="9631"/>
      </w:tblGrid>
      <w:tr w:rsidR="006D48E8" w14:paraId="74774CAE" w14:textId="77777777" w:rsidTr="006D48E8">
        <w:tc>
          <w:tcPr>
            <w:tcW w:w="9631" w:type="dxa"/>
          </w:tcPr>
          <w:tbl>
            <w:tblPr>
              <w:tblStyle w:val="TableGrid"/>
              <w:tblW w:w="0" w:type="auto"/>
              <w:tblLook w:val="04A0" w:firstRow="1" w:lastRow="0" w:firstColumn="1" w:lastColumn="0" w:noHBand="0" w:noVBand="1"/>
            </w:tblPr>
            <w:tblGrid>
              <w:gridCol w:w="9405"/>
            </w:tblGrid>
            <w:tr w:rsidR="006D48E8" w:rsidRPr="006D48E8" w14:paraId="29F0A09D" w14:textId="77777777" w:rsidTr="006D48E8">
              <w:tc>
                <w:tcPr>
                  <w:tcW w:w="9855" w:type="dxa"/>
                  <w:tcBorders>
                    <w:top w:val="single" w:sz="4" w:space="0" w:color="auto"/>
                    <w:left w:val="single" w:sz="4" w:space="0" w:color="auto"/>
                    <w:bottom w:val="single" w:sz="4" w:space="0" w:color="auto"/>
                    <w:right w:val="single" w:sz="4" w:space="0" w:color="auto"/>
                  </w:tcBorders>
                  <w:hideMark/>
                </w:tcPr>
                <w:p w14:paraId="1FEEDF13" w14:textId="77777777" w:rsidR="006D48E8" w:rsidRPr="006D48E8" w:rsidRDefault="006D48E8" w:rsidP="006D48E8">
                  <w:pPr>
                    <w:rPr>
                      <w:lang w:val="en-US"/>
                    </w:rPr>
                  </w:pPr>
                  <w:r w:rsidRPr="006D48E8">
                    <w:rPr>
                      <w:b/>
                      <w:lang w:val="en-US"/>
                    </w:rPr>
                    <w:t xml:space="preserve">Question1 : </w:t>
                  </w:r>
                  <w:r w:rsidRPr="006D48E8">
                    <w:rPr>
                      <w:lang w:val="en-US"/>
                    </w:rPr>
                    <w:t>Can RAN1 provide the information on their progress on whether the existing SSB pattern for an NR cell (e.g. SSB position in burst, SSB index number, etc.) is changed in Rel-19 NR NTN, and whether the SSB periodicity is extended compared with existing TN values?</w:t>
                  </w:r>
                </w:p>
              </w:tc>
            </w:tr>
          </w:tbl>
          <w:p w14:paraId="0F4E702B" w14:textId="77777777" w:rsidR="006D48E8" w:rsidRPr="006D48E8" w:rsidRDefault="006D48E8" w:rsidP="006D48E8">
            <w:pPr>
              <w:rPr>
                <w:b/>
                <w:lang w:val="en-US"/>
              </w:rPr>
            </w:pPr>
          </w:p>
          <w:p w14:paraId="4F31DFE3" w14:textId="77777777" w:rsidR="006D48E8" w:rsidRPr="006D48E8" w:rsidRDefault="006D48E8" w:rsidP="006D48E8">
            <w:pPr>
              <w:rPr>
                <w:b/>
                <w:iCs/>
                <w:lang w:val="en-US"/>
              </w:rPr>
            </w:pPr>
            <w:r w:rsidRPr="006D48E8">
              <w:rPr>
                <w:b/>
                <w:iCs/>
                <w:lang w:val="en-US"/>
              </w:rPr>
              <w:t>Answer to Q1:</w:t>
            </w:r>
          </w:p>
          <w:p w14:paraId="4766DF21" w14:textId="77777777" w:rsidR="006D48E8" w:rsidRPr="006D48E8" w:rsidRDefault="006D48E8" w:rsidP="006D48E8">
            <w:pPr>
              <w:rPr>
                <w:bCs/>
                <w:iCs/>
                <w:lang w:val="en-US"/>
              </w:rPr>
            </w:pPr>
            <w:r w:rsidRPr="006D48E8">
              <w:rPr>
                <w:bCs/>
                <w:iCs/>
                <w:lang w:val="en-US"/>
              </w:rPr>
              <w:t xml:space="preserve">According to the updated WID (RP-241667), SSB enhancement other than </w:t>
            </w:r>
            <w:r w:rsidRPr="005F404F">
              <w:rPr>
                <w:highlight w:val="yellow"/>
                <w:lang w:val="en-US"/>
              </w:rPr>
              <w:t>SSB periodicity extension is not considered</w:t>
            </w:r>
            <w:r w:rsidRPr="006D48E8">
              <w:rPr>
                <w:bCs/>
                <w:iCs/>
                <w:lang w:val="en-US"/>
              </w:rPr>
              <w:t xml:space="preserve">. Thereby, RAN1 understanding is that enhancements to the existing SSB patterns, e.g. SSB position in burst, SSB index number, are not within the scope. </w:t>
            </w:r>
          </w:p>
          <w:p w14:paraId="1A2ABBE7" w14:textId="60A1772A" w:rsidR="006D48E8" w:rsidRPr="006D48E8" w:rsidRDefault="006D48E8" w:rsidP="00A6742D">
            <w:pPr>
              <w:rPr>
                <w:bCs/>
                <w:iCs/>
                <w:lang w:val="en-US"/>
              </w:rPr>
            </w:pPr>
            <w:r w:rsidRPr="006D48E8">
              <w:rPr>
                <w:bCs/>
                <w:iCs/>
                <w:lang w:val="en-US"/>
              </w:rPr>
              <w:t>The extension of the SSB periodicity is still under RAN1’s discussion.</w:t>
            </w:r>
          </w:p>
        </w:tc>
      </w:tr>
    </w:tbl>
    <w:p w14:paraId="13653DDF" w14:textId="0DC89D69" w:rsidR="006D48E8" w:rsidRPr="00B33E75" w:rsidRDefault="006D48E8" w:rsidP="00A6742D">
      <w:pPr>
        <w:rPr>
          <w:b/>
          <w:lang w:val="en-US"/>
        </w:rPr>
      </w:pPr>
    </w:p>
    <w:tbl>
      <w:tblPr>
        <w:tblStyle w:val="TableGrid"/>
        <w:tblW w:w="0" w:type="auto"/>
        <w:tblLook w:val="04A0" w:firstRow="1" w:lastRow="0" w:firstColumn="1" w:lastColumn="0" w:noHBand="0" w:noVBand="1"/>
      </w:tblPr>
      <w:tblGrid>
        <w:gridCol w:w="9631"/>
      </w:tblGrid>
      <w:tr w:rsidR="006D48E8" w14:paraId="15291248" w14:textId="77777777" w:rsidTr="006D48E8">
        <w:tc>
          <w:tcPr>
            <w:tcW w:w="9631" w:type="dxa"/>
          </w:tcPr>
          <w:tbl>
            <w:tblPr>
              <w:tblStyle w:val="TableGrid"/>
              <w:tblW w:w="0" w:type="auto"/>
              <w:tblLook w:val="04A0" w:firstRow="1" w:lastRow="0" w:firstColumn="1" w:lastColumn="0" w:noHBand="0" w:noVBand="1"/>
            </w:tblPr>
            <w:tblGrid>
              <w:gridCol w:w="9405"/>
            </w:tblGrid>
            <w:tr w:rsidR="006D48E8" w:rsidRPr="006D48E8" w14:paraId="3E7489C7" w14:textId="77777777" w:rsidTr="006D48E8">
              <w:tc>
                <w:tcPr>
                  <w:tcW w:w="9855" w:type="dxa"/>
                  <w:tcBorders>
                    <w:top w:val="single" w:sz="4" w:space="0" w:color="auto"/>
                    <w:left w:val="single" w:sz="4" w:space="0" w:color="auto"/>
                    <w:bottom w:val="single" w:sz="4" w:space="0" w:color="auto"/>
                    <w:right w:val="single" w:sz="4" w:space="0" w:color="auto"/>
                  </w:tcBorders>
                  <w:hideMark/>
                </w:tcPr>
                <w:p w14:paraId="7FE99135" w14:textId="77777777" w:rsidR="006D48E8" w:rsidRPr="006D48E8" w:rsidRDefault="006D48E8" w:rsidP="006D48E8">
                  <w:pPr>
                    <w:rPr>
                      <w:lang w:val="en-US"/>
                    </w:rPr>
                  </w:pPr>
                  <w:r w:rsidRPr="006D48E8">
                    <w:rPr>
                      <w:b/>
                      <w:lang w:val="en-US"/>
                    </w:rPr>
                    <w:t xml:space="preserve">Question4 : </w:t>
                  </w:r>
                  <w:r w:rsidRPr="006D48E8">
                    <w:rPr>
                      <w:lang w:val="en-US"/>
                    </w:rPr>
                    <w:t>RAN2 would like to remind RAN1 that satellite beams are currently not visible to UEs and any decision about different beam status (i.e. "off", "common messages only" and "active traffic") will likely have to relate to beams visible to the UE (e.g. SSB beams). RAN2 would also like to know whether RAN1 intends to define beam status for beams not visible to the UE or to define new beam status for beams visible to the UE.</w:t>
                  </w:r>
                </w:p>
              </w:tc>
            </w:tr>
          </w:tbl>
          <w:p w14:paraId="17D663F3" w14:textId="77777777" w:rsidR="006D48E8" w:rsidRPr="006D48E8" w:rsidRDefault="006D48E8" w:rsidP="006D48E8">
            <w:pPr>
              <w:rPr>
                <w:lang w:val="en-US"/>
              </w:rPr>
            </w:pPr>
          </w:p>
          <w:p w14:paraId="16C50DCA" w14:textId="77777777" w:rsidR="006D48E8" w:rsidRPr="006D48E8" w:rsidRDefault="006D48E8" w:rsidP="006D48E8">
            <w:pPr>
              <w:rPr>
                <w:b/>
                <w:iCs/>
                <w:lang w:val="en-US"/>
              </w:rPr>
            </w:pPr>
            <w:r w:rsidRPr="006D48E8">
              <w:rPr>
                <w:b/>
                <w:iCs/>
                <w:lang w:val="en-US"/>
              </w:rPr>
              <w:t>Answer to Q4:</w:t>
            </w:r>
          </w:p>
          <w:p w14:paraId="1F8D920F" w14:textId="4AAB5DA9" w:rsidR="006D48E8" w:rsidRPr="006D48E8" w:rsidRDefault="006D48E8" w:rsidP="00A6742D">
            <w:pPr>
              <w:rPr>
                <w:bCs/>
                <w:iCs/>
                <w:lang w:val="en-US"/>
              </w:rPr>
            </w:pPr>
            <w:r w:rsidRPr="006D48E8">
              <w:rPr>
                <w:bCs/>
                <w:iCs/>
                <w:lang w:val="en-US"/>
              </w:rPr>
              <w:t>Beam footprint status in terms of "off", "common messages only" and "active traffic” in one of the RAN1 agreements is only defined for the sake of system-level evaluation methodology.</w:t>
            </w:r>
          </w:p>
        </w:tc>
      </w:tr>
    </w:tbl>
    <w:p w14:paraId="2E41300A" w14:textId="77777777" w:rsidR="006D48E8" w:rsidRPr="006D48E8" w:rsidRDefault="006D48E8" w:rsidP="00A6742D">
      <w:pPr>
        <w:rPr>
          <w:lang w:val="en-US"/>
        </w:rPr>
      </w:pPr>
    </w:p>
    <w:p w14:paraId="04350246" w14:textId="77777777" w:rsidR="00252650" w:rsidRDefault="00E01ED8" w:rsidP="00252650">
      <w:pPr>
        <w:rPr>
          <w:lang w:val="en-US"/>
        </w:rPr>
      </w:pPr>
      <w:r>
        <w:rPr>
          <w:lang w:val="en-US"/>
        </w:rPr>
        <w:t>As seen from RAN1 repl</w:t>
      </w:r>
      <w:r w:rsidR="007E3F66">
        <w:rPr>
          <w:lang w:val="en-US"/>
        </w:rPr>
        <w:t xml:space="preserve">y, RAN2 should assume </w:t>
      </w:r>
      <w:r w:rsidR="00416E75">
        <w:rPr>
          <w:lang w:val="en-US"/>
        </w:rPr>
        <w:t>that the frame/burst structure will not change</w:t>
      </w:r>
      <w:r w:rsidR="00446C38">
        <w:rPr>
          <w:lang w:val="en-US"/>
        </w:rPr>
        <w:t xml:space="preserve"> and </w:t>
      </w:r>
      <w:r w:rsidR="00F13851">
        <w:rPr>
          <w:lang w:val="en-US"/>
        </w:rPr>
        <w:t>will only work on the SSB periodicity extension</w:t>
      </w:r>
      <w:r w:rsidR="004D076D">
        <w:rPr>
          <w:lang w:val="en-US"/>
        </w:rPr>
        <w:t>.</w:t>
      </w:r>
      <w:r w:rsidR="00CB384C">
        <w:rPr>
          <w:lang w:val="en-US"/>
        </w:rPr>
        <w:t xml:space="preserve"> Furthermore, it is clear that the </w:t>
      </w:r>
      <w:r w:rsidR="00092A37">
        <w:rPr>
          <w:lang w:val="en-US"/>
        </w:rPr>
        <w:t xml:space="preserve">“states” is only intended </w:t>
      </w:r>
      <w:r w:rsidR="002D354B">
        <w:rPr>
          <w:lang w:val="en-US"/>
        </w:rPr>
        <w:t xml:space="preserve">for system-level evaluation and will not </w:t>
      </w:r>
      <w:r w:rsidR="00A95B66">
        <w:rPr>
          <w:lang w:val="en-US"/>
        </w:rPr>
        <w:t>be specified.</w:t>
      </w:r>
      <w:r w:rsidR="003F2A35">
        <w:rPr>
          <w:lang w:val="en-US"/>
        </w:rPr>
        <w:t xml:space="preserve"> </w:t>
      </w:r>
      <w:r w:rsidR="00252650">
        <w:rPr>
          <w:lang w:val="en-US"/>
        </w:rPr>
        <w:t xml:space="preserve">In RAN1 (and RAN2) some companies are mentioning the term “beam hopping” without a clear definition of what is covered by this. It should be noted that the existing specifications does not have a definition of this term and we would therefore suggest that both RAN1 and RAN2 refrains from using the term “beam hopping”, but </w:t>
      </w:r>
      <w:r w:rsidR="00252650">
        <w:rPr>
          <w:lang w:val="en-US"/>
        </w:rPr>
        <w:lastRenderedPageBreak/>
        <w:t>rather starts discussing beam footprints and their availability, since this is what would be observed by a UE being active in a cell.</w:t>
      </w:r>
    </w:p>
    <w:p w14:paraId="00A4DE52" w14:textId="0668D729" w:rsidR="00252650" w:rsidRPr="00B447E7" w:rsidRDefault="00252650" w:rsidP="00252650">
      <w:pPr>
        <w:rPr>
          <w:b/>
          <w:bCs/>
          <w:lang w:val="en-US"/>
        </w:rPr>
      </w:pPr>
      <w:r w:rsidRPr="00B447E7">
        <w:rPr>
          <w:b/>
          <w:bCs/>
          <w:lang w:val="en-US"/>
        </w:rPr>
        <w:t xml:space="preserve">Proposal </w:t>
      </w:r>
      <w:r w:rsidR="009617A7">
        <w:rPr>
          <w:b/>
          <w:bCs/>
          <w:lang w:val="en-US"/>
        </w:rPr>
        <w:t>1</w:t>
      </w:r>
      <w:r w:rsidRPr="00B447E7">
        <w:rPr>
          <w:b/>
          <w:bCs/>
          <w:lang w:val="en-US"/>
        </w:rPr>
        <w:t>: RAN2 should refrain from using the term “Beam hopping” and instead focus on defining terms related to beam footprints and their activity.</w:t>
      </w:r>
    </w:p>
    <w:p w14:paraId="4FF1ADAE" w14:textId="13F532BC" w:rsidR="00252650" w:rsidRDefault="00252650" w:rsidP="00252650">
      <w:pPr>
        <w:rPr>
          <w:b/>
          <w:bCs/>
          <w:lang w:val="en-US"/>
        </w:rPr>
      </w:pPr>
      <w:r w:rsidRPr="0030188B">
        <w:rPr>
          <w:b/>
          <w:bCs/>
          <w:lang w:val="en-US"/>
        </w:rPr>
        <w:t xml:space="preserve">Proposal </w:t>
      </w:r>
      <w:r w:rsidR="00906B11">
        <w:rPr>
          <w:b/>
          <w:bCs/>
          <w:lang w:val="en-US"/>
        </w:rPr>
        <w:t>2</w:t>
      </w:r>
      <w:r w:rsidRPr="0030188B">
        <w:rPr>
          <w:b/>
          <w:bCs/>
          <w:lang w:val="en-US"/>
        </w:rPr>
        <w:t>:</w:t>
      </w:r>
      <w:r w:rsidR="002D7B85">
        <w:rPr>
          <w:b/>
          <w:bCs/>
          <w:lang w:val="en-US"/>
        </w:rPr>
        <w:t xml:space="preserve"> RAN2 to</w:t>
      </w:r>
      <w:r w:rsidRPr="0030188B">
        <w:rPr>
          <w:b/>
          <w:bCs/>
          <w:lang w:val="en-US"/>
        </w:rPr>
        <w:t xml:space="preserve"> </w:t>
      </w:r>
      <w:r w:rsidR="002D7B85">
        <w:rPr>
          <w:b/>
          <w:bCs/>
          <w:lang w:val="en-US"/>
        </w:rPr>
        <w:t>f</w:t>
      </w:r>
      <w:r w:rsidRPr="0030188B">
        <w:rPr>
          <w:b/>
          <w:bCs/>
          <w:lang w:val="en-US"/>
        </w:rPr>
        <w:t>ocus on defining signals and procedures that allows for the situation of a satellite not being able to have all satellite beams simultaneously active.</w:t>
      </w:r>
    </w:p>
    <w:p w14:paraId="76DAD46A" w14:textId="05A0C767" w:rsidR="002A00B4" w:rsidRPr="006D48E8" w:rsidRDefault="00252650" w:rsidP="00252650">
      <w:pPr>
        <w:rPr>
          <w:lang w:val="en-US"/>
        </w:rPr>
      </w:pPr>
      <w:r>
        <w:rPr>
          <w:lang w:val="en-US"/>
        </w:rPr>
        <w:t>Further it should be noted that there are currently no decisions in RAN1 related to which types of activity pattern is to be expected, but since the WID is stating that the Rel-18 network energy saving techniques should be used as the baseline for the system level study it is to be expected that RAN2 may also look into solutions from this domain.</w:t>
      </w:r>
    </w:p>
    <w:p w14:paraId="3B6DBE54" w14:textId="1760BB60" w:rsidR="00A6742D" w:rsidRDefault="00A6742D" w:rsidP="00A6742D">
      <w:pPr>
        <w:pStyle w:val="Heading2"/>
      </w:pPr>
      <w:r>
        <w:t>2.2</w:t>
      </w:r>
      <w:r>
        <w:tab/>
        <w:t>SSB periodicity enhancements</w:t>
      </w:r>
    </w:p>
    <w:p w14:paraId="2BDB08B2" w14:textId="00898D78" w:rsidR="00D7307F" w:rsidRPr="00D7307F" w:rsidRDefault="00D7307F" w:rsidP="00D7307F">
      <w:pPr>
        <w:pStyle w:val="Heading3"/>
      </w:pPr>
      <w:r>
        <w:t>2.2.1</w:t>
      </w:r>
      <w:r>
        <w:tab/>
        <w:t>MIB impact</w:t>
      </w:r>
    </w:p>
    <w:p w14:paraId="32C454D6" w14:textId="77777777" w:rsidR="006D48E8" w:rsidRDefault="006D48E8" w:rsidP="006D48E8">
      <w:r>
        <w:t>In RAN2 the following agreements were made;</w:t>
      </w:r>
    </w:p>
    <w:tbl>
      <w:tblPr>
        <w:tblStyle w:val="TableGrid"/>
        <w:tblW w:w="0" w:type="auto"/>
        <w:tblLook w:val="04A0" w:firstRow="1" w:lastRow="0" w:firstColumn="1" w:lastColumn="0" w:noHBand="0" w:noVBand="1"/>
      </w:tblPr>
      <w:tblGrid>
        <w:gridCol w:w="9631"/>
      </w:tblGrid>
      <w:tr w:rsidR="006D48E8" w14:paraId="1FDC74AA" w14:textId="77777777" w:rsidTr="00E86544">
        <w:tc>
          <w:tcPr>
            <w:tcW w:w="9631" w:type="dxa"/>
          </w:tcPr>
          <w:p w14:paraId="30F771FB" w14:textId="77777777" w:rsidR="006D48E8" w:rsidRDefault="006D48E8" w:rsidP="00E86544">
            <w:r w:rsidRPr="000F4A9E">
              <w:t>From RAN2 point of view, If the SSB periodicity is larger than 160ms, for example ssb-PeriodicityServingCell, measurement gap periodicity, SMTC configuration, ssb-Periodicity-r17 for NonCellDefiningSSB-r17 may need to be extended. And the field description of nAndPagingFrameOffset may need to be enhanced to consider the SSB periodicity higher than 160ms.</w:t>
            </w:r>
          </w:p>
        </w:tc>
      </w:tr>
    </w:tbl>
    <w:p w14:paraId="7787D7FF" w14:textId="13898632" w:rsidR="006D48E8" w:rsidRPr="00A6742D" w:rsidRDefault="006D48E8" w:rsidP="00926D81">
      <w:pPr>
        <w:spacing w:before="240"/>
      </w:pPr>
      <w:r>
        <w:t>However, it is important to note that in 38.331 the following is also specified</w:t>
      </w:r>
      <w:r w:rsidR="00A2552A">
        <w:t>:</w:t>
      </w:r>
    </w:p>
    <w:tbl>
      <w:tblPr>
        <w:tblStyle w:val="TableGrid"/>
        <w:tblW w:w="0" w:type="auto"/>
        <w:tblLook w:val="04A0" w:firstRow="1" w:lastRow="0" w:firstColumn="1" w:lastColumn="0" w:noHBand="0" w:noVBand="1"/>
      </w:tblPr>
      <w:tblGrid>
        <w:gridCol w:w="9631"/>
      </w:tblGrid>
      <w:tr w:rsidR="006D48E8" w14:paraId="307BCCF8" w14:textId="77777777" w:rsidTr="006D48E8">
        <w:tc>
          <w:tcPr>
            <w:tcW w:w="9631" w:type="dxa"/>
          </w:tcPr>
          <w:p w14:paraId="1876CC9D" w14:textId="77777777" w:rsidR="006D48E8" w:rsidRPr="006D48E8" w:rsidRDefault="006D48E8" w:rsidP="006D48E8">
            <w:pPr>
              <w:rPr>
                <w:b/>
                <w:bCs/>
                <w:lang w:val="en-US"/>
              </w:rPr>
            </w:pPr>
            <w:r w:rsidRPr="006D48E8">
              <w:rPr>
                <w:b/>
                <w:bCs/>
                <w:lang w:val="en-US"/>
              </w:rPr>
              <w:t>5.2.1      Introduction</w:t>
            </w:r>
          </w:p>
          <w:p w14:paraId="209466C6" w14:textId="77777777" w:rsidR="006D48E8" w:rsidRPr="006D48E8" w:rsidRDefault="006D48E8" w:rsidP="006D48E8">
            <w:pPr>
              <w:rPr>
                <w:lang w:val="en-US"/>
              </w:rPr>
            </w:pPr>
            <w:bookmarkStart w:id="0" w:name="_Hlk178674331"/>
            <w:r w:rsidRPr="006D48E8">
              <w:rPr>
                <w:lang w:val="en-US"/>
              </w:rPr>
              <w:t xml:space="preserve">System Information (SI) is divided into the </w:t>
            </w:r>
            <w:r w:rsidRPr="006D48E8">
              <w:rPr>
                <w:i/>
                <w:iCs/>
                <w:lang w:val="en-US"/>
              </w:rPr>
              <w:t>MIB</w:t>
            </w:r>
            <w:r w:rsidRPr="006D48E8">
              <w:rPr>
                <w:lang w:val="en-US"/>
              </w:rPr>
              <w:t xml:space="preserve"> </w:t>
            </w:r>
            <w:bookmarkEnd w:id="0"/>
            <w:r w:rsidRPr="006D48E8">
              <w:rPr>
                <w:lang w:val="en-US"/>
              </w:rPr>
              <w:t>and a number of SIBs and posSIBs where:</w:t>
            </w:r>
          </w:p>
          <w:p w14:paraId="78378C33" w14:textId="77777777" w:rsidR="006D48E8" w:rsidRPr="006D48E8" w:rsidRDefault="006D48E8" w:rsidP="006D48E8">
            <w:pPr>
              <w:rPr>
                <w:lang w:val="en-US"/>
              </w:rPr>
            </w:pPr>
            <w:r w:rsidRPr="006D48E8">
              <w:rPr>
                <w:lang w:val="en-US"/>
              </w:rPr>
              <w:t xml:space="preserve">-    the </w:t>
            </w:r>
            <w:r w:rsidRPr="006D48E8">
              <w:rPr>
                <w:i/>
                <w:iCs/>
                <w:highlight w:val="yellow"/>
                <w:lang w:val="en-US"/>
              </w:rPr>
              <w:t>MIB</w:t>
            </w:r>
            <w:r w:rsidRPr="006D48E8">
              <w:rPr>
                <w:highlight w:val="yellow"/>
                <w:lang w:val="en-US"/>
              </w:rPr>
              <w:t xml:space="preserve"> is always transmitted on the BCH with a periodicity of 80 ms and repetitions made within 80 ms</w:t>
            </w:r>
            <w:r w:rsidRPr="006D48E8">
              <w:rPr>
                <w:lang w:val="en-US"/>
              </w:rPr>
              <w:t xml:space="preserve"> (TS 38.212 [17], clause 7.1) and it includes parameters that are needed to acquire </w:t>
            </w:r>
            <w:r w:rsidRPr="006D48E8">
              <w:rPr>
                <w:i/>
                <w:iCs/>
                <w:lang w:val="en-US"/>
              </w:rPr>
              <w:t>SIB1</w:t>
            </w:r>
            <w:r w:rsidRPr="006D48E8">
              <w:rPr>
                <w:lang w:val="en-US"/>
              </w:rPr>
              <w:t xml:space="preserve"> from the cell. The first transmission of the </w:t>
            </w:r>
            <w:r w:rsidRPr="006D48E8">
              <w:rPr>
                <w:i/>
                <w:iCs/>
                <w:lang w:val="en-US"/>
              </w:rPr>
              <w:t>MIB</w:t>
            </w:r>
            <w:r w:rsidRPr="006D48E8">
              <w:rPr>
                <w:lang w:val="en-US"/>
              </w:rPr>
              <w:t xml:space="preserve"> is scheduled in subframes as defined in TS 38.213 [13], clause 4.1 and </w:t>
            </w:r>
            <w:r w:rsidRPr="004F3258">
              <w:rPr>
                <w:highlight w:val="yellow"/>
                <w:lang w:val="en-US"/>
              </w:rPr>
              <w:t>repetitions are scheduled according to the period of SSB</w:t>
            </w:r>
            <w:r w:rsidRPr="006D48E8">
              <w:rPr>
                <w:lang w:val="en-US"/>
              </w:rPr>
              <w:t>;</w:t>
            </w:r>
          </w:p>
          <w:p w14:paraId="060A6B4E" w14:textId="77777777" w:rsidR="006D48E8" w:rsidRPr="006D48E8" w:rsidRDefault="006D48E8" w:rsidP="006D48E8">
            <w:pPr>
              <w:rPr>
                <w:lang w:val="en-US"/>
              </w:rPr>
            </w:pPr>
            <w:r w:rsidRPr="006D48E8">
              <w:rPr>
                <w:lang w:val="en-US"/>
              </w:rPr>
              <w:t xml:space="preserve">NOTE 1:  </w:t>
            </w:r>
            <w:r w:rsidRPr="006D48E8">
              <w:rPr>
                <w:highlight w:val="yellow"/>
                <w:lang w:val="en-US"/>
              </w:rPr>
              <w:t>If the period of SSB is larger than 80 ms, the MIB is transmitted with the same periodicity as that of SSB</w:t>
            </w:r>
            <w:r w:rsidRPr="006D48E8">
              <w:rPr>
                <w:lang w:val="en-US"/>
              </w:rPr>
              <w:t>.</w:t>
            </w:r>
          </w:p>
          <w:p w14:paraId="2F56D024" w14:textId="7032B6D5" w:rsidR="006D48E8" w:rsidRDefault="006D48E8" w:rsidP="009339CB">
            <w:pPr>
              <w:rPr>
                <w:lang w:val="en-US"/>
              </w:rPr>
            </w:pPr>
            <w:r w:rsidRPr="006D48E8">
              <w:rPr>
                <w:lang w:val="en-US"/>
              </w:rPr>
              <w:t xml:space="preserve">-    the </w:t>
            </w:r>
            <w:r w:rsidRPr="006D48E8">
              <w:rPr>
                <w:i/>
                <w:iCs/>
                <w:lang w:val="en-US"/>
              </w:rPr>
              <w:t>SIB1</w:t>
            </w:r>
            <w:r w:rsidRPr="006D48E8">
              <w:rPr>
                <w:lang w:val="en-US"/>
              </w:rPr>
              <w:t xml:space="preserve"> is transmitted on the DL-SCH with a periodicity of 160 ms and variable transmission repetition periodicity within 160 ms as specified in TS 38.213 [13], clause 13. The default transmission repetition periodicity of </w:t>
            </w:r>
            <w:r w:rsidRPr="006D48E8">
              <w:rPr>
                <w:i/>
                <w:iCs/>
                <w:lang w:val="en-US"/>
              </w:rPr>
              <w:t>SIB1</w:t>
            </w:r>
            <w:r w:rsidRPr="006D48E8">
              <w:rPr>
                <w:lang w:val="en-US"/>
              </w:rPr>
              <w:t xml:space="preserve"> is 20 ms but the actual transmission repetition periodicity is up to network implementation. </w:t>
            </w:r>
            <w:r w:rsidRPr="00D17E0C">
              <w:rPr>
                <w:highlight w:val="cyan"/>
                <w:lang w:val="en-US"/>
              </w:rPr>
              <w:t xml:space="preserve">For SSB and CORESET multiplexing pattern 1, </w:t>
            </w:r>
            <w:r w:rsidRPr="00D17E0C">
              <w:rPr>
                <w:i/>
                <w:highlight w:val="cyan"/>
                <w:lang w:val="en-US"/>
              </w:rPr>
              <w:t>SIB1</w:t>
            </w:r>
            <w:r w:rsidRPr="00D17E0C">
              <w:rPr>
                <w:highlight w:val="cyan"/>
                <w:lang w:val="en-US"/>
              </w:rPr>
              <w:t xml:space="preserve"> repetition transmission period is 20 ms</w:t>
            </w:r>
            <w:r w:rsidRPr="006D48E8">
              <w:rPr>
                <w:lang w:val="en-US"/>
              </w:rPr>
              <w:t xml:space="preserve">. For SSB and CORESET multiplexing pattern 2/3, </w:t>
            </w:r>
            <w:r w:rsidRPr="006D48E8">
              <w:rPr>
                <w:i/>
                <w:iCs/>
                <w:lang w:val="en-US"/>
              </w:rPr>
              <w:t>SIB1</w:t>
            </w:r>
            <w:r w:rsidRPr="006D48E8">
              <w:rPr>
                <w:lang w:val="en-US"/>
              </w:rPr>
              <w:t xml:space="preserve"> transmission repetition period is the same as the SSB period (TS 38.213 [13], clause 13). </w:t>
            </w:r>
            <w:r w:rsidRPr="006D48E8">
              <w:rPr>
                <w:i/>
                <w:iCs/>
                <w:lang w:val="en-US"/>
              </w:rPr>
              <w:t>SIB1</w:t>
            </w:r>
            <w:r w:rsidRPr="006D48E8">
              <w:rPr>
                <w:lang w:val="en-US"/>
              </w:rPr>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6D48E8">
              <w:rPr>
                <w:i/>
                <w:iCs/>
                <w:lang w:val="en-US"/>
              </w:rPr>
              <w:t>SIB1</w:t>
            </w:r>
            <w:r w:rsidRPr="006D48E8">
              <w:rPr>
                <w:lang w:val="en-US"/>
              </w:rPr>
              <w:t xml:space="preserve"> is cell-specific SIB;</w:t>
            </w:r>
          </w:p>
        </w:tc>
      </w:tr>
    </w:tbl>
    <w:p w14:paraId="16542B5D" w14:textId="77777777" w:rsidR="00E91FB8" w:rsidRDefault="00E91FB8" w:rsidP="00E91FB8">
      <w:pPr>
        <w:jc w:val="both"/>
        <w:rPr>
          <w:lang w:val="en-US"/>
        </w:rPr>
      </w:pPr>
    </w:p>
    <w:p w14:paraId="73D35433" w14:textId="6D06B012" w:rsidR="00D479F5" w:rsidRDefault="006D48E8" w:rsidP="00E91FB8">
      <w:pPr>
        <w:jc w:val="both"/>
        <w:rPr>
          <w:lang w:val="en-US"/>
        </w:rPr>
      </w:pPr>
      <w:r>
        <w:rPr>
          <w:lang w:val="en-US"/>
        </w:rPr>
        <w:t>This means, that with the SSB period of at 40 ms as being discussed by RAN1, there may be some impact on MIB transmission as well.</w:t>
      </w:r>
      <w:r w:rsidR="00123806">
        <w:rPr>
          <w:lang w:val="en-US"/>
        </w:rPr>
        <w:t xml:space="preserve"> </w:t>
      </w:r>
      <w:r w:rsidR="006B00BA">
        <w:rPr>
          <w:lang w:val="en-US"/>
        </w:rPr>
        <w:t xml:space="preserve">A similar situation occurs with the transmission of SIB1. </w:t>
      </w:r>
      <w:r w:rsidR="0002598D">
        <w:rPr>
          <w:lang w:val="en-US"/>
        </w:rPr>
        <w:t xml:space="preserve">According to the above </w:t>
      </w:r>
      <w:r w:rsidR="00862AD0">
        <w:rPr>
          <w:lang w:val="en-US"/>
        </w:rPr>
        <w:t>specification</w:t>
      </w:r>
      <w:r w:rsidR="0002598D">
        <w:rPr>
          <w:lang w:val="en-US"/>
        </w:rPr>
        <w:t xml:space="preserve">, </w:t>
      </w:r>
      <w:r w:rsidR="001660DE">
        <w:rPr>
          <w:lang w:val="en-US"/>
        </w:rPr>
        <w:t xml:space="preserve">in case </w:t>
      </w:r>
      <w:r w:rsidR="00862AD0">
        <w:rPr>
          <w:lang w:val="en-US"/>
        </w:rPr>
        <w:t>of</w:t>
      </w:r>
      <w:r w:rsidR="001660DE">
        <w:rPr>
          <w:lang w:val="en-US"/>
        </w:rPr>
        <w:t xml:space="preserve"> </w:t>
      </w:r>
      <w:r w:rsidR="00862AD0">
        <w:rPr>
          <w:lang w:val="en-US"/>
        </w:rPr>
        <w:t>multiplexing pattern 1, SIB1 period is hard coded in to 20 ms.</w:t>
      </w:r>
      <w:r w:rsidR="008D2B7B">
        <w:rPr>
          <w:lang w:val="en-US"/>
        </w:rPr>
        <w:t xml:space="preserve"> This means that in case of SSB periodicities longer than 20 ms, </w:t>
      </w:r>
      <w:r w:rsidR="001D5C88">
        <w:rPr>
          <w:lang w:val="en-US"/>
        </w:rPr>
        <w:t>the SIB1 periodicity may not follow the SSB transmissions.</w:t>
      </w:r>
      <w:r w:rsidR="00862AD0">
        <w:rPr>
          <w:lang w:val="en-US"/>
        </w:rPr>
        <w:t xml:space="preserve"> In our view, </w:t>
      </w:r>
      <w:r w:rsidR="00141106">
        <w:rPr>
          <w:lang w:val="en-US"/>
        </w:rPr>
        <w:t>the</w:t>
      </w:r>
      <w:r w:rsidR="00784447">
        <w:rPr>
          <w:lang w:val="en-US"/>
        </w:rPr>
        <w:t xml:space="preserve"> specification should prevent the network from using an SSB extended periodicity</w:t>
      </w:r>
      <w:r w:rsidR="001D5C88">
        <w:rPr>
          <w:lang w:val="en-US"/>
        </w:rPr>
        <w:t xml:space="preserve"> (e.g., 160 ms)</w:t>
      </w:r>
      <w:r w:rsidR="00784447">
        <w:rPr>
          <w:lang w:val="en-US"/>
        </w:rPr>
        <w:t xml:space="preserve"> together with this pattern configuration. </w:t>
      </w:r>
      <w:r w:rsidR="00E91FB8">
        <w:rPr>
          <w:lang w:val="en-US"/>
        </w:rPr>
        <w:t>For that reason, we propose the following:</w:t>
      </w:r>
    </w:p>
    <w:p w14:paraId="377F2B67" w14:textId="60EB3922" w:rsidR="006D48E8" w:rsidRPr="006D48E8" w:rsidRDefault="006D48E8" w:rsidP="00E86544">
      <w:pPr>
        <w:jc w:val="both"/>
        <w:rPr>
          <w:b/>
          <w:bCs/>
          <w:lang w:val="en-US"/>
        </w:rPr>
      </w:pPr>
      <w:r w:rsidRPr="006D48E8">
        <w:rPr>
          <w:b/>
          <w:bCs/>
          <w:lang w:val="en-US"/>
        </w:rPr>
        <w:t xml:space="preserve">Proposal </w:t>
      </w:r>
      <w:r w:rsidR="00906B11">
        <w:rPr>
          <w:b/>
          <w:bCs/>
          <w:lang w:val="en-US"/>
        </w:rPr>
        <w:t>3</w:t>
      </w:r>
      <w:r w:rsidRPr="006D48E8">
        <w:rPr>
          <w:b/>
          <w:bCs/>
          <w:lang w:val="en-US"/>
        </w:rPr>
        <w:t>: RAN2 to include in the study the impact on MIB transmission and reception due to the SSB periodicity extension</w:t>
      </w:r>
      <w:r w:rsidR="00A74150">
        <w:rPr>
          <w:b/>
          <w:bCs/>
          <w:lang w:val="en-US"/>
        </w:rPr>
        <w:t xml:space="preserve"> e.g. </w:t>
      </w:r>
      <w:r w:rsidR="00B367CA">
        <w:rPr>
          <w:b/>
          <w:bCs/>
          <w:lang w:val="en-US"/>
        </w:rPr>
        <w:t xml:space="preserve">allowing MIB periodicity </w:t>
      </w:r>
      <w:r w:rsidR="00EF79E2">
        <w:rPr>
          <w:b/>
          <w:bCs/>
          <w:lang w:val="en-US"/>
        </w:rPr>
        <w:t>to follow SSB even for periods lower than 80 ms</w:t>
      </w:r>
      <w:r w:rsidR="00B367CA">
        <w:rPr>
          <w:b/>
          <w:bCs/>
          <w:lang w:val="en-US"/>
        </w:rPr>
        <w:t xml:space="preserve">, and </w:t>
      </w:r>
      <w:r w:rsidR="00E91FB8">
        <w:rPr>
          <w:b/>
          <w:bCs/>
          <w:lang w:val="en-US"/>
        </w:rPr>
        <w:t>to prevent a joint configuration</w:t>
      </w:r>
      <w:r w:rsidR="00EF7E75">
        <w:rPr>
          <w:b/>
          <w:bCs/>
          <w:lang w:val="en-US"/>
        </w:rPr>
        <w:t xml:space="preserve"> of</w:t>
      </w:r>
      <w:r w:rsidR="00E97F03">
        <w:rPr>
          <w:b/>
          <w:bCs/>
          <w:lang w:val="en-US"/>
        </w:rPr>
        <w:t xml:space="preserve"> </w:t>
      </w:r>
      <w:r w:rsidR="00672105">
        <w:rPr>
          <w:b/>
          <w:bCs/>
          <w:lang w:val="en-US"/>
        </w:rPr>
        <w:t>CORESET multiplexing pattern 1</w:t>
      </w:r>
      <w:r w:rsidR="00E97F03">
        <w:rPr>
          <w:b/>
          <w:bCs/>
          <w:lang w:val="en-US"/>
        </w:rPr>
        <w:t xml:space="preserve"> together with </w:t>
      </w:r>
      <w:r w:rsidR="00DB2E33">
        <w:rPr>
          <w:b/>
          <w:bCs/>
          <w:lang w:val="en-US"/>
        </w:rPr>
        <w:t xml:space="preserve">SSB </w:t>
      </w:r>
      <w:r w:rsidR="001A552C">
        <w:rPr>
          <w:b/>
          <w:bCs/>
          <w:lang w:val="en-US"/>
        </w:rPr>
        <w:t>periods longer than 20 ms</w:t>
      </w:r>
      <w:r w:rsidRPr="006D48E8">
        <w:rPr>
          <w:b/>
          <w:bCs/>
          <w:lang w:val="en-US"/>
        </w:rPr>
        <w:t>.</w:t>
      </w:r>
    </w:p>
    <w:p w14:paraId="044BCF1D" w14:textId="28EF190F" w:rsidR="00D7307F" w:rsidRDefault="00D7307F" w:rsidP="00D7307F">
      <w:pPr>
        <w:pStyle w:val="Heading3"/>
        <w:rPr>
          <w:lang w:val="en-US"/>
        </w:rPr>
      </w:pPr>
      <w:r>
        <w:rPr>
          <w:lang w:val="en-US"/>
        </w:rPr>
        <w:t>2.2.2</w:t>
      </w:r>
      <w:r>
        <w:rPr>
          <w:lang w:val="en-US"/>
        </w:rPr>
        <w:tab/>
        <w:t>Neighbor cell measurement configuration</w:t>
      </w:r>
    </w:p>
    <w:p w14:paraId="6679EC24" w14:textId="5C1D2715" w:rsidR="006D48E8" w:rsidRDefault="00252E5C" w:rsidP="009339CB">
      <w:pPr>
        <w:rPr>
          <w:lang w:val="en-US"/>
        </w:rPr>
      </w:pPr>
      <w:r>
        <w:rPr>
          <w:lang w:val="en-US"/>
        </w:rPr>
        <w:t xml:space="preserve">Currently RAN1 is discussing the extension of SSB periodicity, which is mainly driven by the deployment assumptions made at the </w:t>
      </w:r>
      <w:hyperlink r:id="rId16" w:history="1">
        <w:r w:rsidRPr="00CF0FA5">
          <w:rPr>
            <w:rStyle w:val="Hyperlink"/>
            <w:lang w:val="en-US"/>
          </w:rPr>
          <w:t>RAN1#116</w:t>
        </w:r>
      </w:hyperlink>
      <w:r>
        <w:rPr>
          <w:lang w:val="en-US"/>
        </w:rPr>
        <w:t xml:space="preserve"> meeting. At this meeting it was agreed to introduce assumptions of a satellite covering a large </w:t>
      </w:r>
      <w:r>
        <w:rPr>
          <w:lang w:val="en-US"/>
        </w:rPr>
        <w:lastRenderedPageBreak/>
        <w:t>geographic area with only limited availability of number of simultaneous active beam footprints.</w:t>
      </w:r>
      <w:r w:rsidR="00620E22">
        <w:rPr>
          <w:lang w:val="en-US"/>
        </w:rPr>
        <w:t xml:space="preserve"> </w:t>
      </w:r>
      <w:r w:rsidR="00D7307F">
        <w:rPr>
          <w:lang w:val="en-US"/>
        </w:rPr>
        <w:t xml:space="preserve">From </w:t>
      </w:r>
      <w:hyperlink r:id="rId17" w:history="1">
        <w:r w:rsidR="00D7307F" w:rsidRPr="00EB3FDF">
          <w:rPr>
            <w:rStyle w:val="Hyperlink"/>
            <w:lang w:val="en-US"/>
          </w:rPr>
          <w:t>RAN1#118</w:t>
        </w:r>
      </w:hyperlink>
      <w:r w:rsidR="00D7307F">
        <w:rPr>
          <w:lang w:val="en-US"/>
        </w:rPr>
        <w:t xml:space="preserve"> discussion, we know that RAN1 has defined the range of SSB durations to study from 40-640 ms.</w:t>
      </w:r>
    </w:p>
    <w:tbl>
      <w:tblPr>
        <w:tblStyle w:val="TableGrid"/>
        <w:tblW w:w="0" w:type="auto"/>
        <w:tblLook w:val="04A0" w:firstRow="1" w:lastRow="0" w:firstColumn="1" w:lastColumn="0" w:noHBand="0" w:noVBand="1"/>
      </w:tblPr>
      <w:tblGrid>
        <w:gridCol w:w="9631"/>
      </w:tblGrid>
      <w:tr w:rsidR="00D7307F" w14:paraId="5E589327" w14:textId="77777777" w:rsidTr="00D7307F">
        <w:tc>
          <w:tcPr>
            <w:tcW w:w="9631" w:type="dxa"/>
          </w:tcPr>
          <w:p w14:paraId="4E0BEE15" w14:textId="77777777" w:rsidR="00D7307F" w:rsidRPr="00C4684C" w:rsidRDefault="00D7307F" w:rsidP="00D7307F">
            <w:pPr>
              <w:spacing w:after="0"/>
              <w:rPr>
                <w:bCs/>
              </w:rPr>
            </w:pPr>
            <w:r w:rsidRPr="00C4684C">
              <w:rPr>
                <w:bCs/>
                <w:highlight w:val="green"/>
              </w:rPr>
              <w:t>Agreement</w:t>
            </w:r>
          </w:p>
          <w:p w14:paraId="3AB96BBA" w14:textId="77777777" w:rsidR="00D7307F" w:rsidRPr="00C4684C" w:rsidRDefault="00D7307F" w:rsidP="00D7307F">
            <w:pPr>
              <w:spacing w:after="0"/>
            </w:pPr>
            <w:r w:rsidRPr="00C4684C">
              <w:t>As part of the NTN DL coverage enhancements at both system level and link level, RAN1 to consider:</w:t>
            </w:r>
          </w:p>
          <w:p w14:paraId="76669F13" w14:textId="77777777" w:rsidR="00D7307F" w:rsidRPr="009B33DE" w:rsidRDefault="00D7307F" w:rsidP="00D7307F">
            <w:pPr>
              <w:pStyle w:val="ListParagraph"/>
              <w:numPr>
                <w:ilvl w:val="0"/>
                <w:numId w:val="20"/>
              </w:numPr>
              <w:suppressAutoHyphens/>
              <w:spacing w:after="0"/>
              <w:contextualSpacing w:val="0"/>
              <w:rPr>
                <w:highlight w:val="yellow"/>
              </w:rPr>
            </w:pPr>
            <w:r w:rsidRPr="009B33DE">
              <w:rPr>
                <w:highlight w:val="yellow"/>
              </w:rPr>
              <w:t xml:space="preserve">Extending the periodicity of the half frames with SS/PBCH blocks assumed by UE during initial access. </w:t>
            </w:r>
          </w:p>
          <w:p w14:paraId="59F19A4E" w14:textId="77777777" w:rsidR="00D7307F" w:rsidRPr="009B33DE" w:rsidRDefault="00D7307F" w:rsidP="00D7307F">
            <w:pPr>
              <w:pStyle w:val="ListParagraph"/>
              <w:numPr>
                <w:ilvl w:val="1"/>
                <w:numId w:val="19"/>
              </w:numPr>
              <w:suppressAutoHyphens/>
              <w:spacing w:after="0"/>
              <w:contextualSpacing w:val="0"/>
              <w:rPr>
                <w:highlight w:val="yellow"/>
              </w:rPr>
            </w:pPr>
            <w:r w:rsidRPr="009B33DE">
              <w:rPr>
                <w:highlight w:val="yellow"/>
              </w:rPr>
              <w:t>Default value[s] with extended periodicity assumed by NTN UE for initial access can be:</w:t>
            </w:r>
          </w:p>
          <w:p w14:paraId="24B98CA9" w14:textId="77777777" w:rsidR="00D7307F" w:rsidRPr="009B33DE" w:rsidRDefault="00D7307F" w:rsidP="00D7307F">
            <w:pPr>
              <w:pStyle w:val="ListParagraph"/>
              <w:numPr>
                <w:ilvl w:val="2"/>
                <w:numId w:val="19"/>
              </w:numPr>
              <w:suppressAutoHyphens/>
              <w:spacing w:after="0"/>
              <w:ind w:left="2160" w:hanging="360"/>
              <w:contextualSpacing w:val="0"/>
              <w:rPr>
                <w:highlight w:val="yellow"/>
              </w:rPr>
            </w:pPr>
            <w:r w:rsidRPr="009B33DE">
              <w:rPr>
                <w:highlight w:val="yellow"/>
              </w:rPr>
              <w:t xml:space="preserve">One [or more] values from the list {40ms, 80 ms, 160 ms, 320ms, 640ms} </w:t>
            </w:r>
          </w:p>
          <w:p w14:paraId="7D55FF90" w14:textId="77777777" w:rsidR="00D7307F" w:rsidRPr="00C4684C" w:rsidRDefault="00D7307F" w:rsidP="00D7307F">
            <w:pPr>
              <w:pStyle w:val="ListParagraph"/>
              <w:numPr>
                <w:ilvl w:val="0"/>
                <w:numId w:val="20"/>
              </w:numPr>
              <w:suppressAutoHyphens/>
              <w:spacing w:after="0"/>
              <w:contextualSpacing w:val="0"/>
              <w:rPr>
                <w:bCs/>
              </w:rPr>
            </w:pPr>
            <w:r w:rsidRPr="00C4684C">
              <w:rPr>
                <w:bCs/>
              </w:rPr>
              <w:t>Potential enhancements for transmitting the DL common channels using a wider beam footprint, while DL/UL dedicated channels (incl. PRACH) may be transmitted using a narrower beam footprint</w:t>
            </w:r>
          </w:p>
          <w:p w14:paraId="673A4526" w14:textId="77777777" w:rsidR="00D7307F" w:rsidRPr="00D55AF8" w:rsidRDefault="00D7307F" w:rsidP="00D7307F">
            <w:pPr>
              <w:pStyle w:val="ListParagraph"/>
              <w:numPr>
                <w:ilvl w:val="0"/>
                <w:numId w:val="20"/>
              </w:numPr>
              <w:suppressAutoHyphens/>
              <w:spacing w:after="0"/>
              <w:contextualSpacing w:val="0"/>
              <w:rPr>
                <w:bCs/>
              </w:rPr>
            </w:pPr>
            <w:r w:rsidRPr="00D55AF8">
              <w:rPr>
                <w:bCs/>
              </w:rPr>
              <w:t>Link-level enhancements for the following channels:</w:t>
            </w:r>
          </w:p>
          <w:p w14:paraId="417BBD2A" w14:textId="77777777" w:rsidR="00D7307F" w:rsidRPr="00D55AF8" w:rsidRDefault="00D7307F" w:rsidP="00D7307F">
            <w:pPr>
              <w:numPr>
                <w:ilvl w:val="0"/>
                <w:numId w:val="18"/>
              </w:numPr>
              <w:suppressAutoHyphens/>
              <w:spacing w:after="0"/>
              <w:rPr>
                <w:bCs/>
              </w:rPr>
            </w:pPr>
            <w:r w:rsidRPr="00D55AF8">
              <w:rPr>
                <w:bCs/>
              </w:rPr>
              <w:t xml:space="preserve">PDCCH </w:t>
            </w:r>
          </w:p>
          <w:p w14:paraId="4314BF7C" w14:textId="77777777" w:rsidR="00D7307F" w:rsidRPr="00D55AF8" w:rsidRDefault="00D7307F" w:rsidP="00D7307F">
            <w:pPr>
              <w:numPr>
                <w:ilvl w:val="0"/>
                <w:numId w:val="18"/>
              </w:numPr>
              <w:suppressAutoHyphens/>
              <w:spacing w:after="0"/>
              <w:rPr>
                <w:bCs/>
              </w:rPr>
            </w:pPr>
            <w:r w:rsidRPr="00D55AF8">
              <w:rPr>
                <w:bCs/>
              </w:rPr>
              <w:t xml:space="preserve">PDSCH with Msg 4 </w:t>
            </w:r>
          </w:p>
          <w:p w14:paraId="0E02DFFA" w14:textId="77777777" w:rsidR="00D7307F" w:rsidRPr="00D55AF8" w:rsidRDefault="00D7307F" w:rsidP="00D7307F">
            <w:pPr>
              <w:numPr>
                <w:ilvl w:val="0"/>
                <w:numId w:val="18"/>
              </w:numPr>
              <w:suppressAutoHyphens/>
              <w:spacing w:after="0"/>
              <w:rPr>
                <w:bCs/>
              </w:rPr>
            </w:pPr>
            <w:r w:rsidRPr="00D55AF8">
              <w:rPr>
                <w:bCs/>
              </w:rPr>
              <w:t>PDSCH with SIB1/SIB19.</w:t>
            </w:r>
          </w:p>
          <w:p w14:paraId="1F572AD3" w14:textId="77777777" w:rsidR="00D7307F" w:rsidRPr="00D55AF8" w:rsidRDefault="00D7307F" w:rsidP="00D7307F">
            <w:pPr>
              <w:numPr>
                <w:ilvl w:val="1"/>
                <w:numId w:val="18"/>
              </w:numPr>
              <w:suppressAutoHyphens/>
              <w:spacing w:after="0"/>
              <w:rPr>
                <w:bCs/>
              </w:rPr>
            </w:pPr>
            <w:r w:rsidRPr="00D55AF8">
              <w:rPr>
                <w:bCs/>
              </w:rPr>
              <w:t>Note: link-level enhancements for PDSCH with SIB1/SIB19 may be applicable to other SIBs, without additional specification impact.</w:t>
            </w:r>
          </w:p>
          <w:p w14:paraId="6E12B28C" w14:textId="77777777" w:rsidR="00D7307F" w:rsidRDefault="00D7307F" w:rsidP="00D7307F">
            <w:pPr>
              <w:rPr>
                <w:lang w:val="en-US"/>
              </w:rPr>
            </w:pPr>
            <w:r w:rsidRPr="00D55AF8">
              <w:rPr>
                <w:rFonts w:hint="eastAsia"/>
                <w:bCs/>
              </w:rPr>
              <w:t>N</w:t>
            </w:r>
            <w:r w:rsidRPr="00D55AF8">
              <w:rPr>
                <w:bCs/>
              </w:rPr>
              <w:t>ote: the above does not imply that all the channels above will be enhanced, but all of them should be considered based on this agreement</w:t>
            </w:r>
          </w:p>
        </w:tc>
      </w:tr>
    </w:tbl>
    <w:p w14:paraId="5AE9B5CA" w14:textId="298121EC" w:rsidR="00B96DE5" w:rsidRDefault="00D7307F" w:rsidP="00B96DE5">
      <w:pPr>
        <w:jc w:val="both"/>
        <w:rPr>
          <w:lang w:val="en-US"/>
        </w:rPr>
      </w:pPr>
      <w:r>
        <w:t>Considering neighbour cell measurements, t</w:t>
      </w:r>
      <w:r w:rsidRPr="00B9487B">
        <w:t>he serving cell is providing SMTC windows and measurement gaps (MG) to UEs from the assumption that the neighbouring cell is transmitting the SSB with a certain periodicity.</w:t>
      </w:r>
      <w:r w:rsidR="00530547">
        <w:t xml:space="preserve"> </w:t>
      </w:r>
      <w:r w:rsidR="00B96DE5">
        <w:rPr>
          <w:lang w:val="en-US"/>
        </w:rPr>
        <w:t xml:space="preserve">In </w:t>
      </w:r>
      <w:hyperlink r:id="rId18" w:history="1">
        <w:r w:rsidR="00B96DE5" w:rsidRPr="00C01602">
          <w:rPr>
            <w:rStyle w:val="Hyperlink"/>
            <w:lang w:val="en-US"/>
          </w:rPr>
          <w:t>38.306</w:t>
        </w:r>
      </w:hyperlink>
      <w:r w:rsidR="00B96DE5">
        <w:rPr>
          <w:lang w:val="en-US"/>
        </w:rPr>
        <w:t>, the following is specified regarding number of SMTC windows.</w:t>
      </w:r>
    </w:p>
    <w:tbl>
      <w:tblPr>
        <w:tblStyle w:val="TableGrid"/>
        <w:tblW w:w="0" w:type="auto"/>
        <w:tblLook w:val="04A0" w:firstRow="1" w:lastRow="0" w:firstColumn="1" w:lastColumn="0" w:noHBand="0" w:noVBand="1"/>
      </w:tblPr>
      <w:tblGrid>
        <w:gridCol w:w="9631"/>
      </w:tblGrid>
      <w:tr w:rsidR="00B96DE5" w14:paraId="4F3CF415" w14:textId="77777777">
        <w:tc>
          <w:tcPr>
            <w:tcW w:w="9631" w:type="dxa"/>
          </w:tcPr>
          <w:p w14:paraId="4A691725" w14:textId="77777777" w:rsidR="00B96DE5" w:rsidRPr="004E6E79" w:rsidRDefault="00B96DE5">
            <w:pPr>
              <w:jc w:val="both"/>
              <w:rPr>
                <w:lang w:val="en-US"/>
              </w:rPr>
            </w:pPr>
            <w:r w:rsidRPr="004E6E79">
              <w:rPr>
                <w:b/>
                <w:bCs/>
                <w:i/>
                <w:iCs/>
                <w:lang w:val="en-US"/>
              </w:rPr>
              <w:t>parallelSMTC-r17</w:t>
            </w:r>
          </w:p>
          <w:p w14:paraId="289AA1C6" w14:textId="2FC4DE07" w:rsidR="00B96DE5" w:rsidRDefault="00B96DE5">
            <w:pPr>
              <w:jc w:val="both"/>
              <w:rPr>
                <w:lang w:val="en-US"/>
              </w:rPr>
            </w:pPr>
            <w:r w:rsidRPr="004E6E79">
              <w:rPr>
                <w:lang w:val="en-US"/>
              </w:rPr>
              <w:t>Indicates whether the UE supports NTN SSB based RRM measurements on target cells belonging to 4 SMTC-s on a single frequency carrier. If a UE does not include this field but includes </w:t>
            </w:r>
            <w:r w:rsidRPr="004E6E79">
              <w:rPr>
                <w:i/>
                <w:iCs/>
                <w:lang w:val="en-US"/>
              </w:rPr>
              <w:t>nonTerrestrialNetwork-r17</w:t>
            </w:r>
            <w:r w:rsidRPr="004E6E79">
              <w:rPr>
                <w:lang w:val="en-US"/>
              </w:rPr>
              <w:t>, the UE supports NTN SSB based RRM measurements on target cells belonging to 2 SMTC-s on a single frequency carrier.</w:t>
            </w:r>
          </w:p>
        </w:tc>
      </w:tr>
    </w:tbl>
    <w:p w14:paraId="35F1F4D5" w14:textId="2F74C933" w:rsidR="00530547" w:rsidRDefault="00D40BCA" w:rsidP="00D7307F">
      <w:pPr>
        <w:jc w:val="both"/>
      </w:pPr>
      <w:r>
        <w:t>As of this</w:t>
      </w:r>
      <w:r w:rsidR="00530547">
        <w:t>, configuring the SMTC windows may not be trivial due to 1) the sparce transmission pattern of the SSBs if chosen around 320-640 ms and 2)</w:t>
      </w:r>
      <w:r w:rsidR="00530547" w:rsidRPr="00530547">
        <w:rPr>
          <w:lang w:val="en-US"/>
        </w:rPr>
        <w:t xml:space="preserve"> </w:t>
      </w:r>
      <w:r w:rsidR="00530547">
        <w:rPr>
          <w:lang w:val="en-US"/>
        </w:rPr>
        <w:t xml:space="preserve">some UEs </w:t>
      </w:r>
      <w:r w:rsidR="00FF44DE">
        <w:rPr>
          <w:lang w:val="en-US"/>
        </w:rPr>
        <w:t>are limited to</w:t>
      </w:r>
      <w:r w:rsidR="00530547">
        <w:rPr>
          <w:lang w:val="en-US"/>
        </w:rPr>
        <w:t xml:space="preserve"> 2 SMTC windows</w:t>
      </w:r>
      <w:r w:rsidR="004E6E79">
        <w:rPr>
          <w:lang w:val="en-US"/>
        </w:rPr>
        <w:t>, whereas others may have 4</w:t>
      </w:r>
      <w:r w:rsidR="00530547">
        <w:t>.</w:t>
      </w:r>
    </w:p>
    <w:p w14:paraId="01B09741" w14:textId="6D4F98D4" w:rsidR="00530547" w:rsidRDefault="00530547" w:rsidP="00D7307F">
      <w:pPr>
        <w:jc w:val="both"/>
        <w:rPr>
          <w:lang w:val="en-US"/>
        </w:rPr>
      </w:pPr>
      <w:r>
        <w:rPr>
          <w:lang w:val="en-US"/>
        </w:rPr>
        <w:t xml:space="preserve">Looking in a common handover case in </w:t>
      </w:r>
      <w:r>
        <w:rPr>
          <w:lang w:val="en-US"/>
        </w:rPr>
        <w:fldChar w:fldCharType="begin"/>
      </w:r>
      <w:r>
        <w:rPr>
          <w:lang w:val="en-US"/>
        </w:rPr>
        <w:instrText xml:space="preserve"> REF _Ref178339976 \h </w:instrText>
      </w:r>
      <w:r>
        <w:rPr>
          <w:lang w:val="en-US"/>
        </w:rPr>
      </w:r>
      <w:r>
        <w:rPr>
          <w:lang w:val="en-US"/>
        </w:rPr>
        <w:fldChar w:fldCharType="separate"/>
      </w:r>
      <w:r w:rsidRPr="00221A25">
        <w:rPr>
          <w:lang w:val="en-US"/>
        </w:rPr>
        <w:t>Figure 1</w:t>
      </w:r>
      <w:r>
        <w:rPr>
          <w:lang w:val="en-US"/>
        </w:rPr>
        <w:fldChar w:fldCharType="end"/>
      </w:r>
      <w:r>
        <w:rPr>
          <w:lang w:val="en-US"/>
        </w:rPr>
        <w:t xml:space="preserve">, where a UE is served by cell #0 and should start measuring on cell #1 and #2, three scenarios for </w:t>
      </w:r>
      <w:r w:rsidR="00971CCA">
        <w:rPr>
          <w:lang w:val="en-US"/>
        </w:rPr>
        <w:t>neighbor</w:t>
      </w:r>
      <w:r>
        <w:rPr>
          <w:lang w:val="en-US"/>
        </w:rPr>
        <w:t xml:space="preserve"> cell SSB offset scenarios:</w:t>
      </w:r>
    </w:p>
    <w:p w14:paraId="48979582" w14:textId="287B5AF7" w:rsidR="00530547" w:rsidRDefault="00530547" w:rsidP="00530547">
      <w:pPr>
        <w:pStyle w:val="ListParagraph"/>
        <w:numPr>
          <w:ilvl w:val="0"/>
          <w:numId w:val="22"/>
        </w:numPr>
        <w:jc w:val="both"/>
        <w:rPr>
          <w:lang w:val="en-US"/>
        </w:rPr>
      </w:pPr>
      <w:r>
        <w:rPr>
          <w:lang w:val="en-US"/>
        </w:rPr>
        <w:t>SSB transmission pattern for cells #1-#6 are evenly spaced e.g. with the same SSB offset</w:t>
      </w:r>
    </w:p>
    <w:p w14:paraId="7BA5E0AC" w14:textId="565B23F0" w:rsidR="00530547" w:rsidRDefault="00530547" w:rsidP="00530547">
      <w:pPr>
        <w:pStyle w:val="ListParagraph"/>
        <w:numPr>
          <w:ilvl w:val="0"/>
          <w:numId w:val="22"/>
        </w:numPr>
        <w:jc w:val="both"/>
        <w:rPr>
          <w:lang w:val="en-US"/>
        </w:rPr>
      </w:pPr>
      <w:r>
        <w:rPr>
          <w:lang w:val="en-US"/>
        </w:rPr>
        <w:t>SSB transmission pattern for cells #1-#6 are close to each other in time e.g. start of the first SSB transmission is close to the start of the last SSB transmission within a group</w:t>
      </w:r>
    </w:p>
    <w:p w14:paraId="4A511F60" w14:textId="3BECBE57" w:rsidR="00530547" w:rsidRDefault="00530547" w:rsidP="00530547">
      <w:pPr>
        <w:pStyle w:val="ListParagraph"/>
        <w:numPr>
          <w:ilvl w:val="0"/>
          <w:numId w:val="22"/>
        </w:numPr>
        <w:jc w:val="both"/>
        <w:rPr>
          <w:lang w:val="en-US"/>
        </w:rPr>
      </w:pPr>
      <w:r>
        <w:rPr>
          <w:lang w:val="en-US"/>
        </w:rPr>
        <w:t xml:space="preserve">SSB transmission pattern for cells #1-#6 are placed </w:t>
      </w:r>
      <w:r w:rsidR="00E62751">
        <w:rPr>
          <w:lang w:val="en-US"/>
        </w:rPr>
        <w:t xml:space="preserve">without </w:t>
      </w:r>
      <w:r w:rsidR="00E62751" w:rsidRPr="00E62751">
        <w:rPr>
          <w:lang w:val="en-US"/>
        </w:rPr>
        <w:t>regular inter-cell SSB spacing</w:t>
      </w:r>
      <w:r w:rsidR="00E62751">
        <w:rPr>
          <w:lang w:val="en-US"/>
        </w:rPr>
        <w:t xml:space="preserve"> </w:t>
      </w:r>
      <w:r>
        <w:rPr>
          <w:lang w:val="en-US"/>
        </w:rPr>
        <w:t>e.g. there is no pattern between the individual spacing of the different SSB transmissions</w:t>
      </w:r>
    </w:p>
    <w:p w14:paraId="4DCCEB16" w14:textId="3F0ECAAB" w:rsidR="00530547" w:rsidRDefault="00530547" w:rsidP="00530547">
      <w:pPr>
        <w:jc w:val="both"/>
        <w:rPr>
          <w:lang w:val="en-US"/>
        </w:rPr>
      </w:pPr>
      <w:r>
        <w:rPr>
          <w:lang w:val="en-US"/>
        </w:rPr>
        <w:t xml:space="preserve">In case of 1, a single SMTC configuration may be sufficient to cover all possible </w:t>
      </w:r>
      <w:r w:rsidR="00B00443">
        <w:rPr>
          <w:lang w:val="en-US"/>
        </w:rPr>
        <w:t>neighbor</w:t>
      </w:r>
      <w:r>
        <w:rPr>
          <w:lang w:val="en-US"/>
        </w:rPr>
        <w:t xml:space="preserve"> cell measurements of cells #1-#6, but such mutual configuration will only be possible in a very few corner cases. For instance, if we assume the cells #1-#6 are configured to have a evenly spaced SSB offset, the </w:t>
      </w:r>
      <w:r w:rsidR="00B00443">
        <w:rPr>
          <w:lang w:val="en-US"/>
        </w:rPr>
        <w:t>neighbor</w:t>
      </w:r>
      <w:r>
        <w:rPr>
          <w:lang w:val="en-US"/>
        </w:rPr>
        <w:t xml:space="preserve"> cells to any of the cells within the picture will not be able to have similar lean configuration. Thus, in any case, we will end up needing an extension in the number of SMTC windows.</w:t>
      </w:r>
      <w:r w:rsidR="005A3A67">
        <w:rPr>
          <w:lang w:val="en-US"/>
        </w:rPr>
        <w:t xml:space="preserve"> </w:t>
      </w:r>
    </w:p>
    <w:p w14:paraId="39BB8D7D" w14:textId="65B6B889" w:rsidR="00530547" w:rsidRPr="00530547" w:rsidRDefault="00530547" w:rsidP="00530547">
      <w:pPr>
        <w:jc w:val="both"/>
        <w:rPr>
          <w:b/>
          <w:bCs/>
          <w:lang w:val="en-US"/>
        </w:rPr>
      </w:pPr>
      <w:r w:rsidRPr="00530547">
        <w:rPr>
          <w:b/>
          <w:bCs/>
          <w:lang w:val="en-US"/>
        </w:rPr>
        <w:t xml:space="preserve">Observation </w:t>
      </w:r>
      <w:r w:rsidR="00906B11">
        <w:rPr>
          <w:b/>
          <w:bCs/>
          <w:lang w:val="en-US"/>
        </w:rPr>
        <w:t>1</w:t>
      </w:r>
      <w:r w:rsidRPr="00530547">
        <w:rPr>
          <w:b/>
          <w:bCs/>
          <w:lang w:val="en-US"/>
        </w:rPr>
        <w:t>:</w:t>
      </w:r>
      <w:r>
        <w:rPr>
          <w:b/>
          <w:bCs/>
          <w:lang w:val="en-US"/>
        </w:rPr>
        <w:t xml:space="preserve"> SMTC configuration using the existing number of SMTC windows is not possible.</w:t>
      </w:r>
    </w:p>
    <w:p w14:paraId="0AB9C422" w14:textId="77777777" w:rsidR="00530547" w:rsidRDefault="00530547" w:rsidP="00530547">
      <w:pPr>
        <w:pStyle w:val="paragraph"/>
        <w:keepNext/>
        <w:spacing w:before="0" w:beforeAutospacing="0" w:after="0" w:afterAutospacing="0"/>
        <w:jc w:val="center"/>
        <w:textAlignment w:val="baseline"/>
      </w:pPr>
      <w:r>
        <w:rPr>
          <w:noProof/>
        </w:rPr>
        <w:lastRenderedPageBreak/>
        <w:drawing>
          <wp:inline distT="0" distB="0" distL="0" distR="0" wp14:anchorId="64316438" wp14:editId="55DE982D">
            <wp:extent cx="2679495" cy="2369150"/>
            <wp:effectExtent l="0" t="0" r="6985" b="0"/>
            <wp:docPr id="1242657944" name="Picture 1" descr="A cell phone screen 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657944" name="Picture 1" descr="A cell phone screen shot&#10;&#10;Description automatically generated"/>
                    <pic:cNvPicPr/>
                  </pic:nvPicPr>
                  <pic:blipFill>
                    <a:blip r:embed="rId19"/>
                    <a:stretch>
                      <a:fillRect/>
                    </a:stretch>
                  </pic:blipFill>
                  <pic:spPr>
                    <a:xfrm>
                      <a:off x="0" y="0"/>
                      <a:ext cx="2679495" cy="2369150"/>
                    </a:xfrm>
                    <a:prstGeom prst="rect">
                      <a:avLst/>
                    </a:prstGeom>
                  </pic:spPr>
                </pic:pic>
              </a:graphicData>
            </a:graphic>
          </wp:inline>
        </w:drawing>
      </w:r>
    </w:p>
    <w:p w14:paraId="13A60C45" w14:textId="77777777" w:rsidR="00530547" w:rsidRDefault="00530547" w:rsidP="00530547">
      <w:pPr>
        <w:pStyle w:val="Caption"/>
        <w:jc w:val="center"/>
      </w:pPr>
      <w:bookmarkStart w:id="1" w:name="_Ref178676673"/>
      <w:r>
        <w:t xml:space="preserve">Figure </w:t>
      </w:r>
      <w:r>
        <w:fldChar w:fldCharType="begin"/>
      </w:r>
      <w:r>
        <w:instrText xml:space="preserve"> SEQ Figure \* ARABIC </w:instrText>
      </w:r>
      <w:r>
        <w:fldChar w:fldCharType="separate"/>
      </w:r>
      <w:r>
        <w:rPr>
          <w:noProof/>
        </w:rPr>
        <w:t>1</w:t>
      </w:r>
      <w:r>
        <w:fldChar w:fldCharType="end"/>
      </w:r>
      <w:bookmarkEnd w:id="1"/>
      <w:r>
        <w:t xml:space="preserve"> Example figure of UE position in NR NTN cells</w:t>
      </w:r>
    </w:p>
    <w:p w14:paraId="0066FBED" w14:textId="0325F312" w:rsidR="00530547" w:rsidRDefault="00530547" w:rsidP="00D7307F">
      <w:pPr>
        <w:jc w:val="both"/>
        <w:rPr>
          <w:lang w:val="en-US"/>
        </w:rPr>
      </w:pPr>
      <w:r>
        <w:rPr>
          <w:lang w:val="en-US"/>
        </w:rPr>
        <w:t xml:space="preserve">Similar issue is present with the case 2, where a longer SMTC window is configured to cover a group of </w:t>
      </w:r>
      <w:r w:rsidR="005F5135">
        <w:rPr>
          <w:lang w:val="en-US"/>
        </w:rPr>
        <w:t>neighbor</w:t>
      </w:r>
      <w:r>
        <w:rPr>
          <w:lang w:val="en-US"/>
        </w:rPr>
        <w:t xml:space="preserve"> cell measurements. This is only a valid solution in case the SSB offsets are very close to each other, as otherwise the UE would measure for longer periods of time than needed and such scenarios can be assumed to be rare.</w:t>
      </w:r>
    </w:p>
    <w:p w14:paraId="12870C50" w14:textId="797C735A" w:rsidR="00530547" w:rsidRPr="00530547" w:rsidRDefault="00530547" w:rsidP="00D7307F">
      <w:pPr>
        <w:jc w:val="both"/>
        <w:rPr>
          <w:b/>
          <w:bCs/>
          <w:lang w:val="en-US"/>
        </w:rPr>
      </w:pPr>
      <w:r w:rsidRPr="00530547">
        <w:rPr>
          <w:b/>
          <w:bCs/>
          <w:lang w:val="en-US"/>
        </w:rPr>
        <w:t xml:space="preserve">Observation </w:t>
      </w:r>
      <w:r w:rsidR="00906B11">
        <w:rPr>
          <w:b/>
          <w:bCs/>
          <w:lang w:val="en-US"/>
        </w:rPr>
        <w:t>2</w:t>
      </w:r>
      <w:r w:rsidRPr="00530547">
        <w:rPr>
          <w:b/>
          <w:bCs/>
          <w:lang w:val="en-US"/>
        </w:rPr>
        <w:t>: Configuring SMTC windows covering group of SSB measurements will be very energy inefficient.</w:t>
      </w:r>
    </w:p>
    <w:p w14:paraId="0BE886C3" w14:textId="76FD495E" w:rsidR="00530547" w:rsidRDefault="00530547" w:rsidP="00D7307F">
      <w:pPr>
        <w:jc w:val="both"/>
        <w:rPr>
          <w:lang w:val="en-US"/>
        </w:rPr>
      </w:pPr>
      <w:r>
        <w:rPr>
          <w:lang w:val="en-US"/>
        </w:rPr>
        <w:t>Case 3 covers, in our view, a larger subset of all possible configurations that the UE will experience across the area covered by a single satellite, thus this is what should be focused.</w:t>
      </w:r>
    </w:p>
    <w:p w14:paraId="2E73D870" w14:textId="71B42D3B" w:rsidR="00530547" w:rsidRDefault="00530547" w:rsidP="00D7307F">
      <w:pPr>
        <w:jc w:val="both"/>
        <w:rPr>
          <w:b/>
          <w:bCs/>
          <w:lang w:val="en-US"/>
        </w:rPr>
      </w:pPr>
      <w:r>
        <w:rPr>
          <w:b/>
          <w:bCs/>
          <w:lang w:val="en-US"/>
        </w:rPr>
        <w:t>Proposal</w:t>
      </w:r>
      <w:r w:rsidRPr="00530547">
        <w:rPr>
          <w:b/>
          <w:bCs/>
          <w:lang w:val="en-US"/>
        </w:rPr>
        <w:t xml:space="preserve"> </w:t>
      </w:r>
      <w:r w:rsidR="00906B11">
        <w:rPr>
          <w:b/>
          <w:bCs/>
          <w:lang w:val="en-US"/>
        </w:rPr>
        <w:t>4</w:t>
      </w:r>
      <w:r>
        <w:rPr>
          <w:b/>
          <w:bCs/>
          <w:lang w:val="en-US"/>
        </w:rPr>
        <w:t>: RAN2 to assume that there is no distinct pattern to be configured e.g. for SMTC windows and at least the number of SMTC windows must be extended.</w:t>
      </w:r>
    </w:p>
    <w:p w14:paraId="7D87A736" w14:textId="5523F32B" w:rsidR="00530547" w:rsidRDefault="00530547" w:rsidP="00530547">
      <w:r>
        <w:t xml:space="preserve">Looking at </w:t>
      </w:r>
      <w:r>
        <w:fldChar w:fldCharType="begin"/>
      </w:r>
      <w:r>
        <w:instrText xml:space="preserve"> REF _Ref178676673 \h </w:instrText>
      </w:r>
      <w:r>
        <w:fldChar w:fldCharType="separate"/>
      </w:r>
      <w:r>
        <w:t xml:space="preserve">Figure </w:t>
      </w:r>
      <w:r>
        <w:rPr>
          <w:noProof/>
        </w:rPr>
        <w:t>1</w:t>
      </w:r>
      <w:r>
        <w:fldChar w:fldCharType="end"/>
      </w:r>
      <w:r>
        <w:t>, we also see that the number of cells that in principle, when approaching the cell edge, the UE should only measure a few cells continuously, as the other cells are not candidate cells. The effect of the increased number of SMTC windows, will be that the UE will be mandated to measure within all SMTC windows continuously, which may be energy inefficient.</w:t>
      </w:r>
    </w:p>
    <w:p w14:paraId="7FAFA15A" w14:textId="0E2D54DC" w:rsidR="00530547" w:rsidRDefault="00637712" w:rsidP="00530547">
      <w:pPr>
        <w:rPr>
          <w:b/>
          <w:bCs/>
        </w:rPr>
      </w:pPr>
      <w:r w:rsidRPr="00637712">
        <w:rPr>
          <w:b/>
          <w:bCs/>
        </w:rPr>
        <w:t xml:space="preserve">Observation </w:t>
      </w:r>
      <w:r w:rsidR="00906B11">
        <w:rPr>
          <w:b/>
          <w:bCs/>
        </w:rPr>
        <w:t>3</w:t>
      </w:r>
      <w:r w:rsidRPr="00637712">
        <w:rPr>
          <w:b/>
          <w:bCs/>
        </w:rPr>
        <w:t xml:space="preserve">: </w:t>
      </w:r>
      <w:r>
        <w:rPr>
          <w:b/>
          <w:bCs/>
        </w:rPr>
        <w:t>SMTC window configuration of all possible SSB transmissions of neighbouring cells is energy inefficient.</w:t>
      </w:r>
    </w:p>
    <w:p w14:paraId="7429B756" w14:textId="77777777" w:rsidR="0058646B" w:rsidRPr="00130FBE" w:rsidRDefault="00637712" w:rsidP="0058646B">
      <w:pPr>
        <w:spacing w:after="120"/>
        <w:rPr>
          <w:lang w:val="en-US"/>
        </w:rPr>
      </w:pPr>
      <w:r>
        <w:t xml:space="preserve">One potential solution is, that the SMTC window is location dependent, but this brings the issue that the NTN UE is required to be aware of </w:t>
      </w:r>
      <w:r w:rsidR="00F66243">
        <w:t xml:space="preserve">the neighbour cells </w:t>
      </w:r>
      <w:r w:rsidR="00C430EF">
        <w:t xml:space="preserve">SSB </w:t>
      </w:r>
      <w:r w:rsidR="009A4B4D">
        <w:t xml:space="preserve">transmission </w:t>
      </w:r>
      <w:r w:rsidR="00984F2A">
        <w:t>areas within the serving cell</w:t>
      </w:r>
      <w:r w:rsidR="009A4B4D">
        <w:t xml:space="preserve"> and correlate this with the UEs</w:t>
      </w:r>
      <w:r>
        <w:t xml:space="preserve"> own location relatively to the serving cell and neighbour cells location at all times.</w:t>
      </w:r>
      <w:r w:rsidR="00B01E84">
        <w:t xml:space="preserve"> </w:t>
      </w:r>
      <w:r w:rsidR="0058646B" w:rsidRPr="00130FBE">
        <w:rPr>
          <w:lang w:val="en-US"/>
        </w:rPr>
        <w:t>The network could provide area specific SMTC windows, but this would increase the overhead significantly, as the format in SIB2,3,4 would for instance go from</w:t>
      </w:r>
    </w:p>
    <w:tbl>
      <w:tblPr>
        <w:tblStyle w:val="TableGrid"/>
        <w:tblW w:w="0" w:type="auto"/>
        <w:tblLook w:val="04A0" w:firstRow="1" w:lastRow="0" w:firstColumn="1" w:lastColumn="0" w:noHBand="0" w:noVBand="1"/>
      </w:tblPr>
      <w:tblGrid>
        <w:gridCol w:w="9631"/>
      </w:tblGrid>
      <w:tr w:rsidR="00E76B15" w14:paraId="53C4D275" w14:textId="77777777" w:rsidTr="00E76B15">
        <w:tc>
          <w:tcPr>
            <w:tcW w:w="9631" w:type="dxa"/>
            <w:tcBorders>
              <w:top w:val="nil"/>
              <w:left w:val="nil"/>
              <w:bottom w:val="nil"/>
              <w:right w:val="nil"/>
            </w:tcBorders>
            <w:shd w:val="clear" w:color="auto" w:fill="EDEDED" w:themeFill="accent3" w:themeFillTint="33"/>
          </w:tcPr>
          <w:p w14:paraId="7DF8FB12" w14:textId="517672C1" w:rsidR="00E76B15" w:rsidRDefault="00E76B15" w:rsidP="00E76B15">
            <w:pPr>
              <w:spacing w:after="120"/>
              <w:ind w:firstLine="284"/>
              <w:rPr>
                <w:rFonts w:ascii="Arial" w:hAnsi="Arial" w:cs="Arial"/>
                <w:sz w:val="14"/>
                <w:szCs w:val="14"/>
              </w:rPr>
            </w:pPr>
            <w:r w:rsidRPr="00130FBE">
              <w:rPr>
                <w:rFonts w:ascii="Arial" w:hAnsi="Arial" w:cs="Arial"/>
                <w:sz w:val="14"/>
                <w:szCs w:val="14"/>
              </w:rPr>
              <w:t>smtc                                SSB-MTC                                         OPTIONAL,       -- Need S</w:t>
            </w:r>
          </w:p>
        </w:tc>
      </w:tr>
    </w:tbl>
    <w:p w14:paraId="16A23EF7" w14:textId="77777777" w:rsidR="00E76B15" w:rsidRDefault="00E76B15" w:rsidP="0058646B">
      <w:pPr>
        <w:spacing w:after="120"/>
        <w:ind w:firstLine="284"/>
        <w:rPr>
          <w:rFonts w:ascii="Arial" w:hAnsi="Arial" w:cs="Arial"/>
          <w:sz w:val="14"/>
          <w:szCs w:val="14"/>
        </w:rPr>
      </w:pPr>
    </w:p>
    <w:p w14:paraId="53D9BB55" w14:textId="543D90FE" w:rsidR="0058646B" w:rsidRDefault="00E76B15" w:rsidP="0058646B">
      <w:pPr>
        <w:spacing w:after="120"/>
      </w:pPr>
      <w:r w:rsidRPr="00130FBE">
        <w:t>T</w:t>
      </w:r>
      <w:r w:rsidR="0058646B" w:rsidRPr="00130FBE">
        <w:t>o</w:t>
      </w:r>
      <w:r>
        <w:t xml:space="preserve"> a list of areas and SMTC window configurations</w:t>
      </w:r>
    </w:p>
    <w:tbl>
      <w:tblPr>
        <w:tblStyle w:val="TableGrid"/>
        <w:tblW w:w="0" w:type="auto"/>
        <w:tblLook w:val="04A0" w:firstRow="1" w:lastRow="0" w:firstColumn="1" w:lastColumn="0" w:noHBand="0" w:noVBand="1"/>
      </w:tblPr>
      <w:tblGrid>
        <w:gridCol w:w="9631"/>
      </w:tblGrid>
      <w:tr w:rsidR="00E76B15" w14:paraId="06E80E5C" w14:textId="77777777" w:rsidTr="000C4017">
        <w:tc>
          <w:tcPr>
            <w:tcW w:w="9631" w:type="dxa"/>
            <w:tcBorders>
              <w:top w:val="nil"/>
              <w:left w:val="nil"/>
              <w:bottom w:val="nil"/>
              <w:right w:val="nil"/>
            </w:tcBorders>
            <w:shd w:val="clear" w:color="auto" w:fill="EDEDED" w:themeFill="accent3" w:themeFillTint="33"/>
          </w:tcPr>
          <w:p w14:paraId="2CF984B6" w14:textId="6DBD73AB" w:rsidR="00E76B15" w:rsidRPr="00130FBE" w:rsidRDefault="00E76B15" w:rsidP="00E76B15">
            <w:pPr>
              <w:spacing w:after="120"/>
              <w:ind w:firstLine="284"/>
              <w:rPr>
                <w:rFonts w:ascii="Arial" w:hAnsi="Arial" w:cs="Arial"/>
                <w:sz w:val="14"/>
                <w:szCs w:val="14"/>
              </w:rPr>
            </w:pPr>
            <w:r w:rsidRPr="00130FBE">
              <w:rPr>
                <w:rFonts w:ascii="Arial" w:hAnsi="Arial" w:cs="Arial"/>
                <w:sz w:val="14"/>
                <w:szCs w:val="14"/>
              </w:rPr>
              <w:t>smtc_area1                         SSB-MTC                                     OPTIONAL,       -- Need S</w:t>
            </w:r>
          </w:p>
          <w:p w14:paraId="7B64F289" w14:textId="0079F907" w:rsidR="00E76B15" w:rsidRPr="00130FBE" w:rsidRDefault="00E76B15" w:rsidP="00E76B15">
            <w:pPr>
              <w:spacing w:after="120"/>
              <w:ind w:firstLine="284"/>
              <w:rPr>
                <w:rFonts w:ascii="Arial" w:hAnsi="Arial" w:cs="Arial"/>
                <w:sz w:val="14"/>
                <w:szCs w:val="14"/>
              </w:rPr>
            </w:pPr>
            <w:r w:rsidRPr="00130FBE">
              <w:rPr>
                <w:rFonts w:ascii="Arial" w:hAnsi="Arial" w:cs="Arial"/>
                <w:sz w:val="14"/>
                <w:szCs w:val="14"/>
              </w:rPr>
              <w:t>area</w:t>
            </w:r>
            <w:r>
              <w:rPr>
                <w:rFonts w:ascii="Arial" w:hAnsi="Arial" w:cs="Arial"/>
                <w:sz w:val="14"/>
                <w:szCs w:val="14"/>
              </w:rPr>
              <w:t>Definition</w:t>
            </w:r>
            <w:r w:rsidRPr="00130FBE">
              <w:rPr>
                <w:rFonts w:ascii="Arial" w:hAnsi="Arial" w:cs="Arial"/>
                <w:sz w:val="14"/>
                <w:szCs w:val="14"/>
              </w:rPr>
              <w:t xml:space="preserve">1                   </w:t>
            </w:r>
            <w:r>
              <w:rPr>
                <w:rFonts w:ascii="Arial" w:hAnsi="Arial" w:cs="Arial"/>
                <w:sz w:val="14"/>
                <w:szCs w:val="14"/>
              </w:rPr>
              <w:t>areaDef</w:t>
            </w:r>
            <w:r w:rsidRPr="00130FBE">
              <w:rPr>
                <w:rFonts w:ascii="Arial" w:hAnsi="Arial" w:cs="Arial"/>
                <w:sz w:val="14"/>
                <w:szCs w:val="14"/>
              </w:rPr>
              <w:t xml:space="preserve">                                         OPTIONAL,       -- Need S</w:t>
            </w:r>
          </w:p>
          <w:p w14:paraId="6AB9695A" w14:textId="77777777" w:rsidR="00E76B15" w:rsidRPr="00130FBE" w:rsidRDefault="00E76B15" w:rsidP="00E76B15">
            <w:pPr>
              <w:spacing w:after="120"/>
              <w:ind w:firstLine="284"/>
              <w:rPr>
                <w:rFonts w:ascii="Arial" w:hAnsi="Arial" w:cs="Arial"/>
                <w:sz w:val="14"/>
                <w:szCs w:val="14"/>
              </w:rPr>
            </w:pPr>
            <w:r w:rsidRPr="00130FBE">
              <w:rPr>
                <w:rFonts w:ascii="Arial" w:hAnsi="Arial" w:cs="Arial"/>
                <w:sz w:val="14"/>
                <w:szCs w:val="14"/>
              </w:rPr>
              <w:t>….</w:t>
            </w:r>
          </w:p>
          <w:p w14:paraId="4EA047AF" w14:textId="437990A0" w:rsidR="00E76B15" w:rsidRPr="00130FBE" w:rsidRDefault="00E76B15" w:rsidP="00E76B15">
            <w:pPr>
              <w:spacing w:after="120"/>
              <w:ind w:firstLine="284"/>
              <w:rPr>
                <w:rFonts w:ascii="Arial" w:hAnsi="Arial" w:cs="Arial"/>
                <w:sz w:val="14"/>
                <w:szCs w:val="14"/>
              </w:rPr>
            </w:pPr>
            <w:r w:rsidRPr="00130FBE">
              <w:rPr>
                <w:rFonts w:ascii="Arial" w:hAnsi="Arial" w:cs="Arial"/>
                <w:sz w:val="14"/>
                <w:szCs w:val="14"/>
              </w:rPr>
              <w:t>smtc_area</w:t>
            </w:r>
            <w:r>
              <w:rPr>
                <w:rFonts w:ascii="Arial" w:hAnsi="Arial" w:cs="Arial"/>
                <w:sz w:val="14"/>
                <w:szCs w:val="14"/>
              </w:rPr>
              <w:t>x</w:t>
            </w:r>
            <w:r w:rsidRPr="00130FBE">
              <w:rPr>
                <w:rFonts w:ascii="Arial" w:hAnsi="Arial" w:cs="Arial"/>
                <w:sz w:val="14"/>
                <w:szCs w:val="14"/>
              </w:rPr>
              <w:t xml:space="preserve">                         SSB-MTC                                     OPTIONAL,       -- Need S</w:t>
            </w:r>
          </w:p>
          <w:p w14:paraId="26C8F83D" w14:textId="1747DC2F" w:rsidR="00E76B15" w:rsidRDefault="00E76B15" w:rsidP="00E76B15">
            <w:pPr>
              <w:spacing w:after="120"/>
              <w:ind w:firstLine="284"/>
              <w:rPr>
                <w:rFonts w:ascii="Arial" w:hAnsi="Arial" w:cs="Arial"/>
                <w:sz w:val="14"/>
                <w:szCs w:val="14"/>
              </w:rPr>
            </w:pPr>
            <w:r w:rsidRPr="00130FBE">
              <w:rPr>
                <w:rFonts w:ascii="Arial" w:hAnsi="Arial" w:cs="Arial"/>
                <w:sz w:val="14"/>
                <w:szCs w:val="14"/>
              </w:rPr>
              <w:t>area</w:t>
            </w:r>
            <w:r>
              <w:rPr>
                <w:rFonts w:ascii="Arial" w:hAnsi="Arial" w:cs="Arial"/>
                <w:sz w:val="14"/>
                <w:szCs w:val="14"/>
              </w:rPr>
              <w:t>Definition</w:t>
            </w:r>
            <w:r>
              <w:rPr>
                <w:rFonts w:ascii="Arial" w:hAnsi="Arial" w:cs="Arial"/>
                <w:sz w:val="14"/>
                <w:szCs w:val="14"/>
              </w:rPr>
              <w:t>x</w:t>
            </w:r>
            <w:r w:rsidRPr="00130FBE">
              <w:rPr>
                <w:rFonts w:ascii="Arial" w:hAnsi="Arial" w:cs="Arial"/>
                <w:sz w:val="14"/>
                <w:szCs w:val="14"/>
              </w:rPr>
              <w:t xml:space="preserve">                   </w:t>
            </w:r>
            <w:r>
              <w:rPr>
                <w:rFonts w:ascii="Arial" w:hAnsi="Arial" w:cs="Arial"/>
                <w:sz w:val="14"/>
                <w:szCs w:val="14"/>
              </w:rPr>
              <w:t>areaDef</w:t>
            </w:r>
            <w:r w:rsidRPr="00130FBE">
              <w:rPr>
                <w:rFonts w:ascii="Arial" w:hAnsi="Arial" w:cs="Arial"/>
                <w:sz w:val="14"/>
                <w:szCs w:val="14"/>
              </w:rPr>
              <w:t xml:space="preserve">                                         OPTIONAL,       -- Need S</w:t>
            </w:r>
          </w:p>
        </w:tc>
      </w:tr>
    </w:tbl>
    <w:p w14:paraId="32EBBB84" w14:textId="77777777" w:rsidR="00E76B15" w:rsidRPr="00130FBE" w:rsidRDefault="00E76B15" w:rsidP="0058646B">
      <w:pPr>
        <w:spacing w:after="120"/>
      </w:pPr>
    </w:p>
    <w:p w14:paraId="33C73D5B" w14:textId="51E88CA2" w:rsidR="0058646B" w:rsidRPr="00130FBE" w:rsidRDefault="0058646B" w:rsidP="0058646B">
      <w:pPr>
        <w:spacing w:after="120"/>
      </w:pPr>
      <w:r w:rsidRPr="00130FBE">
        <w:t xml:space="preserve">where the </w:t>
      </w:r>
      <w:r w:rsidR="00FE4843" w:rsidRPr="00FE4843">
        <w:rPr>
          <w:i/>
          <w:iCs/>
        </w:rPr>
        <w:t>areaDefinitionx</w:t>
      </w:r>
      <w:r w:rsidR="00FE4843" w:rsidRPr="00FE4843">
        <w:t xml:space="preserve"> </w:t>
      </w:r>
      <w:r w:rsidRPr="00130FBE">
        <w:t xml:space="preserve">is the area where </w:t>
      </w:r>
      <w:r w:rsidRPr="00FE4843">
        <w:rPr>
          <w:i/>
          <w:iCs/>
        </w:rPr>
        <w:t>smtc_areax</w:t>
      </w:r>
      <w:r w:rsidRPr="00130FBE">
        <w:t xml:space="preserve"> is to be applied. Depending on the area format the overhead can be considerable. </w:t>
      </w:r>
      <w:r w:rsidRPr="00FC303D">
        <w:t>Furthermore,</w:t>
      </w:r>
      <w:r w:rsidRPr="00130FBE">
        <w:t xml:space="preserve"> for some measurements like inter satellite measurements in active mode measurement gaps are needed, which would mean they also should be area dependent.</w:t>
      </w:r>
      <w:r>
        <w:t xml:space="preserve"> </w:t>
      </w:r>
      <w:r w:rsidR="00FE4843" w:rsidRPr="00130FBE">
        <w:rPr>
          <w:lang w:val="en-US"/>
        </w:rPr>
        <w:t>A</w:t>
      </w:r>
      <w:r w:rsidRPr="00130FBE">
        <w:rPr>
          <w:lang w:val="en-US"/>
        </w:rPr>
        <w:t xml:space="preserve"> further additional drawback is that idle UEs would need to update their understanding of their own location through GNSS update and SIB reading in order to get the SMTC information belonging to their location.</w:t>
      </w:r>
    </w:p>
    <w:p w14:paraId="27D350B6" w14:textId="07C14172" w:rsidR="00637712" w:rsidRDefault="00637712" w:rsidP="00530547">
      <w:pPr>
        <w:rPr>
          <w:b/>
          <w:bCs/>
        </w:rPr>
      </w:pPr>
      <w:r>
        <w:rPr>
          <w:b/>
          <w:bCs/>
        </w:rPr>
        <w:t>Observation</w:t>
      </w:r>
      <w:r w:rsidRPr="00637712">
        <w:rPr>
          <w:b/>
          <w:bCs/>
        </w:rPr>
        <w:t xml:space="preserve"> </w:t>
      </w:r>
      <w:r w:rsidR="00906B11">
        <w:rPr>
          <w:b/>
          <w:bCs/>
        </w:rPr>
        <w:t>4</w:t>
      </w:r>
      <w:r w:rsidRPr="00637712">
        <w:rPr>
          <w:b/>
          <w:bCs/>
        </w:rPr>
        <w:t>:</w:t>
      </w:r>
      <w:r>
        <w:rPr>
          <w:b/>
          <w:bCs/>
        </w:rPr>
        <w:t xml:space="preserve"> Location based SMTC configuration may be a solution to optimising the energy consumption of an NR NTN UE performing neighbour cell measurements on a subset of the configured SMTC windows.</w:t>
      </w:r>
    </w:p>
    <w:p w14:paraId="66BF4F02" w14:textId="222D7BBA" w:rsidR="00637712" w:rsidRDefault="00637712" w:rsidP="00530547">
      <w:pPr>
        <w:rPr>
          <w:b/>
          <w:bCs/>
        </w:rPr>
      </w:pPr>
      <w:r>
        <w:rPr>
          <w:b/>
          <w:bCs/>
        </w:rPr>
        <w:lastRenderedPageBreak/>
        <w:t xml:space="preserve">Observation </w:t>
      </w:r>
      <w:r w:rsidR="00906B11">
        <w:rPr>
          <w:b/>
          <w:bCs/>
        </w:rPr>
        <w:t>5</w:t>
      </w:r>
      <w:r>
        <w:rPr>
          <w:b/>
          <w:bCs/>
        </w:rPr>
        <w:t>: Location based SMTC configuration provide additional signalling overhead and requires a UE to be aware of the relative location between not only the gNB but also all neighbouring cells.</w:t>
      </w:r>
    </w:p>
    <w:p w14:paraId="2B277B3A" w14:textId="0E032B8D" w:rsidR="00012776" w:rsidRPr="00863F7D" w:rsidRDefault="00012776" w:rsidP="00012776">
      <w:pPr>
        <w:jc w:val="both"/>
        <w:rPr>
          <w:lang w:val="en-US"/>
        </w:rPr>
      </w:pPr>
      <w:r w:rsidRPr="00012776">
        <w:t>Another solution is</w:t>
      </w:r>
      <w:r>
        <w:rPr>
          <w:b/>
          <w:bCs/>
        </w:rPr>
        <w:t xml:space="preserve"> </w:t>
      </w:r>
      <w:r>
        <w:rPr>
          <w:lang w:val="en-US"/>
        </w:rPr>
        <w:t>that t</w:t>
      </w:r>
      <w:r w:rsidRPr="00863F7D">
        <w:rPr>
          <w:lang w:val="en-US"/>
        </w:rPr>
        <w:t>he UE could detect which neighboring cells are relevant by scanning over one or a few SSB periods. After thes</w:t>
      </w:r>
      <w:r>
        <w:rPr>
          <w:lang w:val="en-US"/>
        </w:rPr>
        <w:t>e</w:t>
      </w:r>
      <w:r w:rsidRPr="00863F7D">
        <w:rPr>
          <w:lang w:val="en-US"/>
        </w:rPr>
        <w:t xml:space="preserve"> scanning period</w:t>
      </w:r>
      <w:r>
        <w:rPr>
          <w:lang w:val="en-US"/>
        </w:rPr>
        <w:t>s</w:t>
      </w:r>
      <w:r w:rsidRPr="00863F7D">
        <w:rPr>
          <w:lang w:val="en-US"/>
        </w:rPr>
        <w:t xml:space="preserve"> the UE c</w:t>
      </w:r>
      <w:r>
        <w:rPr>
          <w:lang w:val="en-US"/>
        </w:rPr>
        <w:t>an</w:t>
      </w:r>
      <w:r w:rsidRPr="00863F7D">
        <w:rPr>
          <w:lang w:val="en-US"/>
        </w:rPr>
        <w:t xml:space="preserve"> limit the measurements and corresponding measurement occasions to the relevant neighboring cells</w:t>
      </w:r>
      <w:r>
        <w:rPr>
          <w:lang w:val="en-US"/>
        </w:rPr>
        <w:t>.</w:t>
      </w:r>
    </w:p>
    <w:p w14:paraId="18D9EFCE" w14:textId="00824129" w:rsidR="00637712" w:rsidRDefault="00637712" w:rsidP="00637712">
      <w:r>
        <w:rPr>
          <w:lang w:val="en-US"/>
        </w:rPr>
        <w:t>Furthermore, SSB transmission windows may not be fixed. The above example only considers the fact that a single cell transmits a single SSB periodically. However, if this is the case there may be no real data transmission</w:t>
      </w:r>
      <w:r w:rsidR="005124BE">
        <w:rPr>
          <w:lang w:val="en-US"/>
        </w:rPr>
        <w:t xml:space="preserve"> since all the gNBs will do is transmit half frames including SSBs.</w:t>
      </w:r>
      <w:r>
        <w:rPr>
          <w:lang w:val="en-US"/>
        </w:rPr>
        <w:t xml:space="preserve"> </w:t>
      </w:r>
      <w:r w:rsidR="005124BE">
        <w:rPr>
          <w:lang w:val="en-US"/>
        </w:rPr>
        <w:t>S</w:t>
      </w:r>
      <w:r>
        <w:rPr>
          <w:lang w:val="en-US"/>
        </w:rPr>
        <w:t>ince at least a 640 ms periodicity</w:t>
      </w:r>
      <w:r w:rsidR="005124BE">
        <w:rPr>
          <w:lang w:val="en-US"/>
        </w:rPr>
        <w:t xml:space="preserve"> would spend roughly ~52 % of the energy transmitting SSBs, there is at least</w:t>
      </w:r>
      <w:r>
        <w:rPr>
          <w:lang w:val="en-US"/>
        </w:rPr>
        <w:t xml:space="preserve"> ~4</w:t>
      </w:r>
      <w:r w:rsidR="005124BE">
        <w:rPr>
          <w:lang w:val="en-US"/>
        </w:rPr>
        <w:t>8</w:t>
      </w:r>
      <w:r>
        <w:rPr>
          <w:lang w:val="en-US"/>
        </w:rPr>
        <w:t xml:space="preserve">% </w:t>
      </w:r>
      <w:r w:rsidR="005124BE">
        <w:rPr>
          <w:lang w:val="en-US"/>
        </w:rPr>
        <w:t xml:space="preserve">transmission opportunities left to transmit data, i.e. by prolonging the transmission window of the cell. This could result in the SMTCs being </w:t>
      </w:r>
      <w:r w:rsidR="005124BE" w:rsidRPr="00B9487B">
        <w:t>dynamic, i.e. changes occasionally,</w:t>
      </w:r>
      <w:r w:rsidR="005124BE">
        <w:t xml:space="preserve"> and in such cases the serving cell may have to</w:t>
      </w:r>
      <w:r w:rsidR="005124BE" w:rsidRPr="00B9487B">
        <w:t xml:space="preserve"> reconfigur</w:t>
      </w:r>
      <w:r w:rsidR="005124BE">
        <w:t>e</w:t>
      </w:r>
      <w:r w:rsidR="005124BE" w:rsidRPr="00B9487B">
        <w:t xml:space="preserve"> the SMTC windows and measurement gaps through RRC signaling may on top of that lead to extra </w:t>
      </w:r>
      <w:r w:rsidR="00530829" w:rsidRPr="00B9487B">
        <w:t>signalling</w:t>
      </w:r>
      <w:r w:rsidR="005124BE" w:rsidRPr="00B9487B">
        <w:t xml:space="preserve"> overhead.</w:t>
      </w:r>
    </w:p>
    <w:p w14:paraId="54B4DE41" w14:textId="31C2E2C0" w:rsidR="005124BE" w:rsidRPr="005124BE" w:rsidRDefault="005124BE" w:rsidP="00637712">
      <w:pPr>
        <w:rPr>
          <w:b/>
          <w:bCs/>
          <w:lang w:val="en-US"/>
        </w:rPr>
      </w:pPr>
      <w:r w:rsidRPr="005124BE">
        <w:rPr>
          <w:b/>
          <w:bCs/>
        </w:rPr>
        <w:t xml:space="preserve">Observation </w:t>
      </w:r>
      <w:r w:rsidR="00906B11">
        <w:rPr>
          <w:b/>
          <w:bCs/>
        </w:rPr>
        <w:t>6</w:t>
      </w:r>
      <w:r w:rsidRPr="005124BE">
        <w:rPr>
          <w:b/>
          <w:bCs/>
        </w:rPr>
        <w:t xml:space="preserve">: Optimal SMTC window configuration may be </w:t>
      </w:r>
      <w:r>
        <w:rPr>
          <w:b/>
          <w:bCs/>
        </w:rPr>
        <w:t>dynamic for a given UE if we account not only for SSB transmission but also data transmission.</w:t>
      </w:r>
    </w:p>
    <w:p w14:paraId="0B878CE8" w14:textId="236C9D44" w:rsidR="00637712" w:rsidRDefault="00637712" w:rsidP="00637712">
      <w:pPr>
        <w:rPr>
          <w:lang w:val="en-US"/>
        </w:rPr>
      </w:pPr>
      <w:r w:rsidRPr="0014224C">
        <w:rPr>
          <w:lang w:val="en-US"/>
        </w:rPr>
        <w:t xml:space="preserve">One way to avoid this overhead can be to </w:t>
      </w:r>
      <w:r>
        <w:rPr>
          <w:lang w:val="en-US"/>
        </w:rPr>
        <w:t xml:space="preserve">instead </w:t>
      </w:r>
      <w:r w:rsidRPr="0014224C">
        <w:rPr>
          <w:lang w:val="en-US"/>
        </w:rPr>
        <w:t xml:space="preserve">provide the UE with information about the neighboring cell SSB </w:t>
      </w:r>
      <w:r>
        <w:rPr>
          <w:lang w:val="en-US"/>
        </w:rPr>
        <w:t>configuration</w:t>
      </w:r>
      <w:r w:rsidRPr="0014224C">
        <w:rPr>
          <w:lang w:val="en-US"/>
        </w:rPr>
        <w:t xml:space="preserve">, such the UE can adjust its behavior, like skipping a measurement gap when it knows the neighboring cells have gone to a lower SSB </w:t>
      </w:r>
      <w:r>
        <w:rPr>
          <w:lang w:val="en-US"/>
        </w:rPr>
        <w:t>periodicity</w:t>
      </w:r>
      <w:r w:rsidRPr="0014224C">
        <w:rPr>
          <w:lang w:val="en-US"/>
        </w:rPr>
        <w:t>.</w:t>
      </w:r>
      <w:r>
        <w:rPr>
          <w:lang w:val="en-US"/>
        </w:rPr>
        <w:t xml:space="preserve"> Likewise, the cell could provide information on for how long the neighbor cells are in a certain state (common signal only, or active with UL/DL traffic), allowing a UE to make reasonable decisions about when to read the SSBs considering the UEs own state.</w:t>
      </w:r>
    </w:p>
    <w:p w14:paraId="1D567CF1" w14:textId="77777777" w:rsidR="00A1764B" w:rsidRPr="00863F7D" w:rsidRDefault="00A1764B" w:rsidP="00A1764B">
      <w:pPr>
        <w:jc w:val="both"/>
        <w:rPr>
          <w:lang w:val="en-US"/>
        </w:rPr>
      </w:pPr>
      <w:r w:rsidRPr="00292ACF">
        <w:t xml:space="preserve">Cell specific measurements of the SSBs are most needed at times of initial access and during mobility events. </w:t>
      </w:r>
      <w:r>
        <w:t xml:space="preserve">During mobility the measurements are used to find the candidate cell and to synchronize to the new cell. </w:t>
      </w:r>
      <w:r w:rsidRPr="00863F7D">
        <w:rPr>
          <w:lang w:val="en-US"/>
        </w:rPr>
        <w:t>Having the SSBs less frequent available during the mobility may de</w:t>
      </w:r>
      <w:r>
        <w:rPr>
          <w:lang w:val="en-US"/>
        </w:rPr>
        <w:t>grade the performance</w:t>
      </w:r>
      <w:r w:rsidRPr="00863F7D">
        <w:rPr>
          <w:lang w:val="en-US"/>
        </w:rPr>
        <w:t xml:space="preserve">. In case of Earth Fixed Cells (SFC) the mobility events are well defined and deterministic. </w:t>
      </w:r>
      <w:r w:rsidRPr="00C41475">
        <w:rPr>
          <w:lang w:val="en-US"/>
        </w:rPr>
        <w:t>To</w:t>
      </w:r>
      <w:r w:rsidRPr="00863F7D">
        <w:rPr>
          <w:lang w:val="en-US"/>
        </w:rPr>
        <w:t xml:space="preserve"> optimize the mobility performance, the SSB periodicity of the candidate cell may during the mobility event set to a lower value in order to maximize the mobility performance. </w:t>
      </w:r>
    </w:p>
    <w:p w14:paraId="196B1BB4" w14:textId="362CF960" w:rsidR="00637712" w:rsidRDefault="005124BE" w:rsidP="00637712">
      <w:pPr>
        <w:rPr>
          <w:b/>
          <w:bCs/>
          <w:lang w:val="en-US"/>
        </w:rPr>
      </w:pPr>
      <w:r>
        <w:rPr>
          <w:b/>
          <w:bCs/>
          <w:lang w:val="en-US"/>
        </w:rPr>
        <w:t xml:space="preserve">Proposal </w:t>
      </w:r>
      <w:r w:rsidR="00906B11">
        <w:rPr>
          <w:b/>
          <w:bCs/>
          <w:lang w:val="en-US"/>
        </w:rPr>
        <w:t>5</w:t>
      </w:r>
      <w:r>
        <w:rPr>
          <w:b/>
          <w:bCs/>
          <w:lang w:val="en-US"/>
        </w:rPr>
        <w:t xml:space="preserve">: RAN2 to study at least </w:t>
      </w:r>
      <w:r w:rsidR="00D54A19">
        <w:rPr>
          <w:b/>
          <w:bCs/>
          <w:lang w:val="en-US"/>
        </w:rPr>
        <w:t>four</w:t>
      </w:r>
      <w:r>
        <w:rPr>
          <w:b/>
          <w:bCs/>
          <w:lang w:val="en-US"/>
        </w:rPr>
        <w:t xml:space="preserve"> aspects of downlink coverage enhancements</w:t>
      </w:r>
    </w:p>
    <w:p w14:paraId="180DEDB7" w14:textId="0978331D" w:rsidR="005124BE" w:rsidRDefault="005124BE" w:rsidP="005124BE">
      <w:pPr>
        <w:pStyle w:val="ListParagraph"/>
        <w:numPr>
          <w:ilvl w:val="0"/>
          <w:numId w:val="23"/>
        </w:numPr>
        <w:rPr>
          <w:b/>
          <w:bCs/>
          <w:lang w:val="en-US"/>
        </w:rPr>
      </w:pPr>
      <w:r>
        <w:rPr>
          <w:b/>
          <w:bCs/>
          <w:lang w:val="en-US"/>
        </w:rPr>
        <w:t>Increasing the number and duration of SMTC windows;</w:t>
      </w:r>
    </w:p>
    <w:p w14:paraId="2E7D1031" w14:textId="45B1DD17" w:rsidR="005124BE" w:rsidRPr="005F24E7" w:rsidRDefault="005124BE" w:rsidP="005124BE">
      <w:pPr>
        <w:pStyle w:val="ListParagraph"/>
        <w:numPr>
          <w:ilvl w:val="0"/>
          <w:numId w:val="23"/>
        </w:numPr>
        <w:rPr>
          <w:b/>
          <w:bCs/>
          <w:lang w:val="en-US"/>
        </w:rPr>
      </w:pPr>
      <w:r>
        <w:rPr>
          <w:b/>
          <w:bCs/>
          <w:lang w:val="en-US"/>
        </w:rPr>
        <w:t xml:space="preserve">Allowing </w:t>
      </w:r>
      <w:r w:rsidRPr="001D5D6F">
        <w:rPr>
          <w:b/>
          <w:lang w:val="en-US"/>
        </w:rPr>
        <w:t xml:space="preserve">a UE can do </w:t>
      </w:r>
      <w:r>
        <w:rPr>
          <w:b/>
          <w:lang w:val="en-US"/>
        </w:rPr>
        <w:t>a</w:t>
      </w:r>
      <w:r w:rsidRPr="001D5D6F">
        <w:rPr>
          <w:b/>
          <w:lang w:val="en-US"/>
        </w:rPr>
        <w:t xml:space="preserve"> scan for ne</w:t>
      </w:r>
      <w:r>
        <w:rPr>
          <w:b/>
          <w:lang w:val="en-US"/>
        </w:rPr>
        <w:t>i</w:t>
      </w:r>
      <w:r w:rsidRPr="001D5D6F">
        <w:rPr>
          <w:b/>
          <w:lang w:val="en-US"/>
        </w:rPr>
        <w:t>ghbor</w:t>
      </w:r>
      <w:r>
        <w:rPr>
          <w:b/>
          <w:lang w:val="en-US"/>
        </w:rPr>
        <w:t>ing cells</w:t>
      </w:r>
      <w:r w:rsidRPr="001D5D6F">
        <w:rPr>
          <w:b/>
          <w:lang w:val="en-US"/>
        </w:rPr>
        <w:t xml:space="preserve"> </w:t>
      </w:r>
      <w:r>
        <w:rPr>
          <w:b/>
          <w:lang w:val="en-US"/>
        </w:rPr>
        <w:t>over a period and to limit the measurements afterwards to the relevant cells</w:t>
      </w:r>
    </w:p>
    <w:p w14:paraId="4AB8E108" w14:textId="6AAE5F35" w:rsidR="00530829" w:rsidRPr="00D77B6F" w:rsidRDefault="006300EC" w:rsidP="00530829">
      <w:pPr>
        <w:pStyle w:val="ListParagraph"/>
        <w:numPr>
          <w:ilvl w:val="0"/>
          <w:numId w:val="23"/>
        </w:numPr>
        <w:rPr>
          <w:b/>
          <w:bCs/>
          <w:lang w:val="en-US"/>
        </w:rPr>
      </w:pPr>
      <w:r>
        <w:rPr>
          <w:b/>
        </w:rPr>
        <w:t>S</w:t>
      </w:r>
      <w:r w:rsidR="005F24E7">
        <w:rPr>
          <w:b/>
        </w:rPr>
        <w:t>etting the SSB period to a lower value during mobility events in case of Earth Fixed Cells.</w:t>
      </w:r>
    </w:p>
    <w:p w14:paraId="62E4FDED" w14:textId="397E6DD6" w:rsidR="00D77B6F" w:rsidRDefault="00D77B6F" w:rsidP="00D77B6F">
      <w:pPr>
        <w:pStyle w:val="Heading2"/>
      </w:pPr>
      <w:r>
        <w:t>2.3</w:t>
      </w:r>
      <w:r>
        <w:tab/>
        <w:t>Cell barring</w:t>
      </w:r>
    </w:p>
    <w:p w14:paraId="75C71012" w14:textId="0DDA5216" w:rsidR="00A23CC5" w:rsidRPr="00130FBE" w:rsidRDefault="00A23CC5" w:rsidP="00A23CC5">
      <w:pPr>
        <w:pStyle w:val="paragraph"/>
        <w:spacing w:before="0" w:beforeAutospacing="0" w:after="120" w:afterAutospacing="0" w:line="240" w:lineRule="auto"/>
        <w:jc w:val="both"/>
        <w:textAlignment w:val="baseline"/>
        <w:rPr>
          <w:rFonts w:ascii="Times New Roman" w:hAnsi="Times New Roman" w:cs="Times New Roman"/>
          <w:sz w:val="20"/>
          <w:szCs w:val="20"/>
        </w:rPr>
      </w:pPr>
      <w:r w:rsidRPr="00130FBE">
        <w:rPr>
          <w:rFonts w:ascii="Times New Roman" w:hAnsi="Times New Roman" w:cs="Times New Roman"/>
          <w:sz w:val="20"/>
          <w:szCs w:val="20"/>
        </w:rPr>
        <w:t xml:space="preserve">RAN2 agreed in </w:t>
      </w:r>
      <w:hyperlink r:id="rId20" w:history="1">
        <w:r w:rsidRPr="00FE4843">
          <w:rPr>
            <w:rStyle w:val="Hyperlink"/>
            <w:rFonts w:ascii="Times New Roman" w:hAnsi="Times New Roman" w:cs="Times New Roman"/>
            <w:sz w:val="20"/>
            <w:szCs w:val="20"/>
          </w:rPr>
          <w:t>RAN127bis</w:t>
        </w:r>
      </w:hyperlink>
      <w:r w:rsidRPr="00130FBE">
        <w:rPr>
          <w:rFonts w:ascii="Times New Roman" w:hAnsi="Times New Roman" w:cs="Times New Roman"/>
          <w:sz w:val="20"/>
          <w:szCs w:val="20"/>
        </w:rPr>
        <w:t xml:space="preserve"> to introduce a barring </w:t>
      </w:r>
      <w:r>
        <w:rPr>
          <w:rFonts w:ascii="Times New Roman" w:hAnsi="Times New Roman" w:cs="Times New Roman"/>
          <w:sz w:val="20"/>
          <w:szCs w:val="20"/>
        </w:rPr>
        <w:t>mechanism</w:t>
      </w:r>
      <w:r w:rsidRPr="00130FBE">
        <w:rPr>
          <w:rFonts w:ascii="Times New Roman" w:hAnsi="Times New Roman" w:cs="Times New Roman"/>
          <w:sz w:val="20"/>
          <w:szCs w:val="20"/>
        </w:rPr>
        <w:t xml:space="preserve"> to avoid rel-17 and Rel-28 UE to access a Rel-19 cell with extended SSB periodicity:</w:t>
      </w:r>
    </w:p>
    <w:p w14:paraId="70C08656" w14:textId="77777777" w:rsidR="00A23CC5" w:rsidRPr="00130FBE" w:rsidRDefault="00A23CC5" w:rsidP="00A23CC5">
      <w:pPr>
        <w:pStyle w:val="paragraph"/>
        <w:pBdr>
          <w:top w:val="single" w:sz="4" w:space="1" w:color="auto"/>
          <w:left w:val="single" w:sz="4" w:space="0" w:color="auto"/>
          <w:bottom w:val="single" w:sz="4" w:space="1" w:color="auto"/>
          <w:right w:val="single" w:sz="4" w:space="4" w:color="auto"/>
        </w:pBdr>
        <w:spacing w:after="120"/>
        <w:jc w:val="both"/>
        <w:textAlignment w:val="baseline"/>
        <w:rPr>
          <w:rFonts w:ascii="Times New Roman" w:hAnsi="Times New Roman" w:cs="Times New Roman"/>
          <w:sz w:val="20"/>
          <w:szCs w:val="20"/>
        </w:rPr>
      </w:pPr>
      <w:r w:rsidRPr="00130FBE">
        <w:rPr>
          <w:rFonts w:ascii="Times New Roman" w:hAnsi="Times New Roman" w:cs="Times New Roman"/>
          <w:sz w:val="20"/>
          <w:szCs w:val="20"/>
        </w:rPr>
        <w:t>Agreements:</w:t>
      </w:r>
    </w:p>
    <w:p w14:paraId="24EE7E91" w14:textId="77777777" w:rsidR="00A23CC5" w:rsidRPr="00130FBE" w:rsidRDefault="00A23CC5" w:rsidP="00A23CC5">
      <w:pPr>
        <w:pStyle w:val="paragraph"/>
        <w:pBdr>
          <w:top w:val="single" w:sz="4" w:space="1" w:color="auto"/>
          <w:left w:val="single" w:sz="4" w:space="0" w:color="auto"/>
          <w:bottom w:val="single" w:sz="4" w:space="1" w:color="auto"/>
          <w:right w:val="single" w:sz="4" w:space="4" w:color="auto"/>
        </w:pBdr>
        <w:spacing w:after="120"/>
        <w:jc w:val="both"/>
        <w:textAlignment w:val="baseline"/>
        <w:rPr>
          <w:rFonts w:ascii="Times New Roman" w:hAnsi="Times New Roman" w:cs="Times New Roman"/>
          <w:sz w:val="20"/>
          <w:szCs w:val="20"/>
        </w:rPr>
      </w:pPr>
      <w:r w:rsidRPr="00130FBE">
        <w:rPr>
          <w:rFonts w:ascii="Times New Roman" w:hAnsi="Times New Roman" w:cs="Times New Roman"/>
          <w:sz w:val="20"/>
          <w:szCs w:val="20"/>
        </w:rPr>
        <w:t>1.</w:t>
      </w:r>
      <w:r w:rsidRPr="00130FBE">
        <w:rPr>
          <w:rFonts w:ascii="Times New Roman" w:hAnsi="Times New Roman" w:cs="Times New Roman"/>
          <w:sz w:val="20"/>
          <w:szCs w:val="20"/>
        </w:rPr>
        <w:tab/>
        <w:t xml:space="preserve">If it turns out that there is a need to bar UEs not supporting DL-CE, Rel-19 UEs not supporting DL-CE can be barred from accessing a cell operating with DL-CE </w:t>
      </w:r>
      <w:r w:rsidRPr="00B01742">
        <w:rPr>
          <w:rFonts w:ascii="Times New Roman" w:hAnsi="Times New Roman" w:cs="Times New Roman"/>
          <w:sz w:val="20"/>
          <w:szCs w:val="20"/>
          <w:highlight w:val="yellow"/>
        </w:rPr>
        <w:t>using the existing NTN bar bit</w:t>
      </w:r>
      <w:r w:rsidRPr="00130FBE">
        <w:rPr>
          <w:rFonts w:ascii="Times New Roman" w:hAnsi="Times New Roman" w:cs="Times New Roman"/>
          <w:sz w:val="20"/>
          <w:szCs w:val="20"/>
        </w:rPr>
        <w:t>, in the same way as pre-Rel19 NTN UEs (this is an extension of the previous agreement to include also Rel-19 UE not supporting DL-CE)</w:t>
      </w:r>
    </w:p>
    <w:p w14:paraId="6C7A34C0" w14:textId="77777777" w:rsidR="00A23CC5" w:rsidRPr="00130FBE" w:rsidRDefault="00A23CC5" w:rsidP="00A23CC5">
      <w:pPr>
        <w:pStyle w:val="paragraph"/>
        <w:pBdr>
          <w:top w:val="single" w:sz="4" w:space="1" w:color="auto"/>
          <w:left w:val="single" w:sz="4" w:space="0" w:color="auto"/>
          <w:bottom w:val="single" w:sz="4" w:space="1" w:color="auto"/>
          <w:right w:val="single" w:sz="4" w:space="4" w:color="auto"/>
        </w:pBdr>
        <w:spacing w:after="120"/>
        <w:jc w:val="both"/>
        <w:textAlignment w:val="baseline"/>
        <w:rPr>
          <w:rFonts w:ascii="Times New Roman" w:hAnsi="Times New Roman" w:cs="Times New Roman"/>
          <w:sz w:val="20"/>
          <w:szCs w:val="20"/>
        </w:rPr>
      </w:pPr>
      <w:r w:rsidRPr="00130FBE">
        <w:rPr>
          <w:rFonts w:ascii="Times New Roman" w:hAnsi="Times New Roman" w:cs="Times New Roman"/>
          <w:sz w:val="20"/>
          <w:szCs w:val="20"/>
        </w:rPr>
        <w:t>2.</w:t>
      </w:r>
      <w:r w:rsidRPr="00130FBE">
        <w:rPr>
          <w:rFonts w:ascii="Times New Roman" w:hAnsi="Times New Roman" w:cs="Times New Roman"/>
          <w:sz w:val="20"/>
          <w:szCs w:val="20"/>
        </w:rPr>
        <w:tab/>
        <w:t xml:space="preserve">If it turns out that there is a need to bar UEs not supporting DL-CE, then we need </w:t>
      </w:r>
      <w:r w:rsidRPr="001A7021">
        <w:rPr>
          <w:rFonts w:ascii="Times New Roman" w:hAnsi="Times New Roman" w:cs="Times New Roman"/>
          <w:sz w:val="20"/>
          <w:szCs w:val="20"/>
          <w:highlight w:val="yellow"/>
        </w:rPr>
        <w:t>to introduce a barring mechanism to control access of UEs supporting Rel19 NTN DL-CE</w:t>
      </w:r>
      <w:r w:rsidRPr="00130FBE">
        <w:rPr>
          <w:rFonts w:ascii="Times New Roman" w:hAnsi="Times New Roman" w:cs="Times New Roman"/>
          <w:sz w:val="20"/>
          <w:szCs w:val="20"/>
        </w:rPr>
        <w:t>. FFS on the details. (This also implies that UEs supporting Rel19 NTN DL-CE will not consider the existing NTN barring bit)</w:t>
      </w:r>
    </w:p>
    <w:p w14:paraId="27468CCF" w14:textId="77777777" w:rsidR="00A23CC5" w:rsidRPr="00130FBE" w:rsidRDefault="00A23CC5" w:rsidP="00A23CC5">
      <w:pPr>
        <w:pStyle w:val="paragraph"/>
        <w:pBdr>
          <w:top w:val="single" w:sz="4" w:space="1" w:color="auto"/>
          <w:left w:val="single" w:sz="4" w:space="0" w:color="auto"/>
          <w:bottom w:val="single" w:sz="4" w:space="1" w:color="auto"/>
          <w:right w:val="single" w:sz="4" w:space="4" w:color="auto"/>
        </w:pBdr>
        <w:spacing w:after="120"/>
        <w:jc w:val="both"/>
        <w:textAlignment w:val="baseline"/>
        <w:rPr>
          <w:rFonts w:ascii="Times New Roman" w:hAnsi="Times New Roman" w:cs="Times New Roman"/>
          <w:sz w:val="20"/>
          <w:szCs w:val="20"/>
        </w:rPr>
      </w:pPr>
      <w:r w:rsidRPr="00130FBE">
        <w:rPr>
          <w:rFonts w:ascii="Times New Roman" w:hAnsi="Times New Roman" w:cs="Times New Roman"/>
          <w:sz w:val="20"/>
          <w:szCs w:val="20"/>
        </w:rPr>
        <w:t>3.</w:t>
      </w:r>
      <w:r w:rsidRPr="00130FBE">
        <w:rPr>
          <w:rFonts w:ascii="Times New Roman" w:hAnsi="Times New Roman" w:cs="Times New Roman"/>
          <w:sz w:val="20"/>
          <w:szCs w:val="20"/>
        </w:rPr>
        <w:tab/>
        <w:t>(also depending on the details of the RAN1 solution) we can further consider methods to allow UEs not supporting DL CE to down-prioritize or prevent re-selection to cells operating with DL CE.</w:t>
      </w:r>
    </w:p>
    <w:p w14:paraId="24D47391" w14:textId="28F308BE" w:rsidR="00E64318" w:rsidRDefault="002644AB" w:rsidP="00917DB0">
      <w:pPr>
        <w:pStyle w:val="paragraph"/>
        <w:spacing w:after="120"/>
        <w:jc w:val="both"/>
        <w:textAlignment w:val="baseline"/>
        <w:rPr>
          <w:rFonts w:ascii="Times New Roman" w:hAnsi="Times New Roman" w:cs="Times New Roman"/>
          <w:sz w:val="20"/>
          <w:szCs w:val="20"/>
        </w:rPr>
      </w:pPr>
      <w:r>
        <w:rPr>
          <w:rFonts w:ascii="Times New Roman" w:hAnsi="Times New Roman" w:cs="Times New Roman"/>
          <w:sz w:val="20"/>
          <w:szCs w:val="20"/>
        </w:rPr>
        <w:t xml:space="preserve">The agreement states that the barring bit </w:t>
      </w:r>
      <w:r w:rsidR="00A2759B">
        <w:rPr>
          <w:rFonts w:ascii="Times New Roman" w:hAnsi="Times New Roman" w:cs="Times New Roman"/>
          <w:sz w:val="20"/>
          <w:szCs w:val="20"/>
        </w:rPr>
        <w:t>is only applicable if there is a need, which initially was due to the fact that it was uncertain whether the SSB extension solution was adapted within RAN1. However, ther</w:t>
      </w:r>
      <w:r w:rsidR="00917DB0">
        <w:rPr>
          <w:rFonts w:ascii="Times New Roman" w:hAnsi="Times New Roman" w:cs="Times New Roman"/>
          <w:sz w:val="20"/>
          <w:szCs w:val="20"/>
        </w:rPr>
        <w:t>e</w:t>
      </w:r>
      <w:r w:rsidR="00A23CC5">
        <w:rPr>
          <w:rFonts w:ascii="Times New Roman" w:hAnsi="Times New Roman" w:cs="Times New Roman"/>
          <w:sz w:val="20"/>
          <w:szCs w:val="20"/>
        </w:rPr>
        <w:t xml:space="preserve"> is </w:t>
      </w:r>
      <w:r w:rsidR="00917DB0">
        <w:rPr>
          <w:rFonts w:ascii="Times New Roman" w:hAnsi="Times New Roman" w:cs="Times New Roman"/>
          <w:sz w:val="20"/>
          <w:szCs w:val="20"/>
        </w:rPr>
        <w:t>another</w:t>
      </w:r>
      <w:r w:rsidR="00A23CC5">
        <w:rPr>
          <w:rFonts w:ascii="Times New Roman" w:hAnsi="Times New Roman" w:cs="Times New Roman"/>
          <w:sz w:val="20"/>
          <w:szCs w:val="20"/>
        </w:rPr>
        <w:t xml:space="preserve"> question which needs to be asked: how can the legacy users assumed to be barred by a barring bit, read the barring bit in the MIB of the Rel-19 CE cell? </w:t>
      </w:r>
      <w:r w:rsidR="00917DB0">
        <w:rPr>
          <w:rFonts w:ascii="Times New Roman" w:hAnsi="Times New Roman" w:cs="Times New Roman"/>
          <w:sz w:val="20"/>
          <w:szCs w:val="20"/>
        </w:rPr>
        <w:t>Since the</w:t>
      </w:r>
      <w:r w:rsidR="00917DB0" w:rsidRPr="00130FBE">
        <w:rPr>
          <w:rFonts w:ascii="Times New Roman" w:hAnsi="Times New Roman" w:cs="Times New Roman"/>
          <w:sz w:val="20"/>
          <w:szCs w:val="20"/>
        </w:rPr>
        <w:t xml:space="preserve"> </w:t>
      </w:r>
      <w:r w:rsidR="00A23CC5" w:rsidRPr="00130FBE">
        <w:rPr>
          <w:rFonts w:ascii="Times New Roman" w:hAnsi="Times New Roman" w:cs="Times New Roman"/>
          <w:sz w:val="20"/>
          <w:szCs w:val="20"/>
        </w:rPr>
        <w:t>barring bit in the MIB in a cell having an increased SSB periodicity</w:t>
      </w:r>
      <w:r w:rsidR="00917DB0">
        <w:rPr>
          <w:rFonts w:ascii="Times New Roman" w:hAnsi="Times New Roman" w:cs="Times New Roman"/>
          <w:sz w:val="20"/>
          <w:szCs w:val="20"/>
        </w:rPr>
        <w:t xml:space="preserve">, it </w:t>
      </w:r>
      <w:r w:rsidR="00A23CC5" w:rsidRPr="00130FBE">
        <w:rPr>
          <w:rFonts w:ascii="Times New Roman" w:hAnsi="Times New Roman" w:cs="Times New Roman"/>
          <w:sz w:val="20"/>
          <w:szCs w:val="20"/>
        </w:rPr>
        <w:t xml:space="preserve">may be problematic to </w:t>
      </w:r>
      <w:r w:rsidR="00A23CC5">
        <w:rPr>
          <w:rFonts w:ascii="Times New Roman" w:hAnsi="Times New Roman" w:cs="Times New Roman"/>
          <w:sz w:val="20"/>
          <w:szCs w:val="20"/>
        </w:rPr>
        <w:t xml:space="preserve">be </w:t>
      </w:r>
      <w:r w:rsidR="00A23CC5" w:rsidRPr="00130FBE">
        <w:rPr>
          <w:rFonts w:ascii="Times New Roman" w:hAnsi="Times New Roman" w:cs="Times New Roman"/>
          <w:sz w:val="20"/>
          <w:szCs w:val="20"/>
        </w:rPr>
        <w:lastRenderedPageBreak/>
        <w:t>discover</w:t>
      </w:r>
      <w:r w:rsidR="00917DB0">
        <w:rPr>
          <w:rFonts w:ascii="Times New Roman" w:hAnsi="Times New Roman" w:cs="Times New Roman"/>
          <w:sz w:val="20"/>
          <w:szCs w:val="20"/>
        </w:rPr>
        <w:t>ed</w:t>
      </w:r>
      <w:r w:rsidR="00A23CC5" w:rsidRPr="00130FBE">
        <w:rPr>
          <w:rFonts w:ascii="Times New Roman" w:hAnsi="Times New Roman" w:cs="Times New Roman"/>
          <w:sz w:val="20"/>
          <w:szCs w:val="20"/>
        </w:rPr>
        <w:t xml:space="preserve"> </w:t>
      </w:r>
      <w:r w:rsidR="00A23CC5">
        <w:rPr>
          <w:rFonts w:ascii="Times New Roman" w:hAnsi="Times New Roman" w:cs="Times New Roman"/>
          <w:sz w:val="20"/>
          <w:szCs w:val="20"/>
        </w:rPr>
        <w:t>by</w:t>
      </w:r>
      <w:r w:rsidR="00A23CC5" w:rsidRPr="00130FBE">
        <w:rPr>
          <w:rFonts w:ascii="Times New Roman" w:hAnsi="Times New Roman" w:cs="Times New Roman"/>
          <w:sz w:val="20"/>
          <w:szCs w:val="20"/>
        </w:rPr>
        <w:t xml:space="preserve"> a UE not supporting larger SSB periodicities</w:t>
      </w:r>
      <w:r w:rsidR="00A23CC5">
        <w:rPr>
          <w:rFonts w:ascii="Times New Roman" w:hAnsi="Times New Roman" w:cs="Times New Roman"/>
          <w:sz w:val="20"/>
          <w:szCs w:val="20"/>
        </w:rPr>
        <w:t>,</w:t>
      </w:r>
      <w:r w:rsidR="00A23CC5" w:rsidRPr="00130FBE">
        <w:rPr>
          <w:rFonts w:ascii="Times New Roman" w:hAnsi="Times New Roman" w:cs="Times New Roman"/>
          <w:sz w:val="20"/>
          <w:szCs w:val="20"/>
        </w:rPr>
        <w:t xml:space="preserve"> as it may not find the cell in the first place.</w:t>
      </w:r>
      <w:r w:rsidR="00E64318">
        <w:rPr>
          <w:rFonts w:ascii="Times New Roman" w:hAnsi="Times New Roman" w:cs="Times New Roman"/>
          <w:sz w:val="20"/>
          <w:szCs w:val="20"/>
        </w:rPr>
        <w:t xml:space="preserve"> However, we see that this is a RAN1 issue.</w:t>
      </w:r>
    </w:p>
    <w:p w14:paraId="336C7500" w14:textId="68057905" w:rsidR="00E64318" w:rsidRPr="00926D81" w:rsidRDefault="00E64318" w:rsidP="00917DB0">
      <w:pPr>
        <w:pStyle w:val="paragraph"/>
        <w:spacing w:after="120"/>
        <w:jc w:val="both"/>
        <w:textAlignment w:val="baseline"/>
        <w:rPr>
          <w:rFonts w:ascii="Times New Roman" w:hAnsi="Times New Roman" w:cs="Times New Roman"/>
          <w:b/>
          <w:bCs/>
          <w:sz w:val="20"/>
          <w:szCs w:val="20"/>
        </w:rPr>
      </w:pPr>
      <w:r w:rsidRPr="00926D81">
        <w:rPr>
          <w:rFonts w:ascii="Times New Roman" w:hAnsi="Times New Roman" w:cs="Times New Roman"/>
          <w:b/>
          <w:bCs/>
          <w:sz w:val="20"/>
          <w:szCs w:val="20"/>
        </w:rPr>
        <w:t xml:space="preserve">Observation 7: The need for a barring bit may also depend on whether RAN1 </w:t>
      </w:r>
      <w:r w:rsidR="002619A8" w:rsidRPr="00926D81">
        <w:rPr>
          <w:rFonts w:ascii="Times New Roman" w:hAnsi="Times New Roman" w:cs="Times New Roman"/>
          <w:b/>
          <w:bCs/>
          <w:sz w:val="20"/>
          <w:szCs w:val="20"/>
        </w:rPr>
        <w:t xml:space="preserve">believes the MIB can be </w:t>
      </w:r>
      <w:r w:rsidR="00721854" w:rsidRPr="00926D81">
        <w:rPr>
          <w:rFonts w:ascii="Times New Roman" w:hAnsi="Times New Roman" w:cs="Times New Roman"/>
          <w:b/>
          <w:bCs/>
          <w:sz w:val="20"/>
          <w:szCs w:val="20"/>
        </w:rPr>
        <w:t>read by non</w:t>
      </w:r>
      <w:r w:rsidR="00BC38A1" w:rsidRPr="00926D81">
        <w:rPr>
          <w:rFonts w:ascii="Times New Roman" w:hAnsi="Times New Roman" w:cs="Times New Roman"/>
          <w:b/>
          <w:bCs/>
          <w:sz w:val="20"/>
          <w:szCs w:val="20"/>
        </w:rPr>
        <w:t xml:space="preserve"> DL-CE enabled UEs</w:t>
      </w:r>
      <w:r w:rsidR="00CB48A8" w:rsidRPr="00926D81">
        <w:rPr>
          <w:rFonts w:ascii="Times New Roman" w:hAnsi="Times New Roman" w:cs="Times New Roman"/>
          <w:b/>
          <w:bCs/>
          <w:sz w:val="20"/>
          <w:szCs w:val="20"/>
        </w:rPr>
        <w:t>, but this is up to RAN1</w:t>
      </w:r>
    </w:p>
    <w:p w14:paraId="6DA3E0EE" w14:textId="76FC37AC" w:rsidR="00D77B6F" w:rsidRPr="00D77B6F" w:rsidRDefault="00A23CC5" w:rsidP="00926D81">
      <w:pPr>
        <w:pStyle w:val="paragraph"/>
        <w:spacing w:before="0" w:beforeAutospacing="0" w:after="120" w:afterAutospacing="0" w:line="240" w:lineRule="auto"/>
        <w:jc w:val="both"/>
        <w:textAlignment w:val="baseline"/>
      </w:pPr>
      <w:r w:rsidRPr="00130FBE">
        <w:rPr>
          <w:rFonts w:ascii="Times New Roman" w:hAnsi="Times New Roman" w:cs="Times New Roman"/>
          <w:b/>
          <w:bCs/>
          <w:sz w:val="20"/>
          <w:szCs w:val="20"/>
        </w:rPr>
        <w:t xml:space="preserve">Proposal </w:t>
      </w:r>
      <w:r w:rsidR="008B4170">
        <w:rPr>
          <w:rFonts w:ascii="Times New Roman" w:hAnsi="Times New Roman" w:cs="Times New Roman"/>
          <w:b/>
          <w:bCs/>
          <w:sz w:val="20"/>
          <w:szCs w:val="20"/>
        </w:rPr>
        <w:t>6</w:t>
      </w:r>
      <w:r w:rsidRPr="00130FBE">
        <w:rPr>
          <w:rFonts w:ascii="Times New Roman" w:hAnsi="Times New Roman" w:cs="Times New Roman"/>
          <w:b/>
          <w:bCs/>
          <w:sz w:val="20"/>
          <w:szCs w:val="20"/>
        </w:rPr>
        <w:t>: RAN</w:t>
      </w:r>
      <w:r w:rsidR="003666F2">
        <w:rPr>
          <w:rFonts w:ascii="Times New Roman" w:hAnsi="Times New Roman" w:cs="Times New Roman"/>
          <w:b/>
          <w:bCs/>
          <w:sz w:val="20"/>
          <w:szCs w:val="20"/>
        </w:rPr>
        <w:t>2</w:t>
      </w:r>
      <w:r w:rsidRPr="00130FBE">
        <w:rPr>
          <w:rFonts w:ascii="Times New Roman" w:hAnsi="Times New Roman" w:cs="Times New Roman"/>
          <w:b/>
          <w:bCs/>
          <w:sz w:val="20"/>
          <w:szCs w:val="20"/>
        </w:rPr>
        <w:t xml:space="preserve"> </w:t>
      </w:r>
      <w:r w:rsidR="00CB48A8">
        <w:rPr>
          <w:rFonts w:ascii="Times New Roman" w:hAnsi="Times New Roman" w:cs="Times New Roman"/>
          <w:b/>
          <w:bCs/>
          <w:sz w:val="20"/>
          <w:szCs w:val="20"/>
        </w:rPr>
        <w:t>ask RAN1 whether the MIB can be read by non</w:t>
      </w:r>
      <w:r w:rsidR="00245E3E">
        <w:rPr>
          <w:rFonts w:ascii="Times New Roman" w:hAnsi="Times New Roman" w:cs="Times New Roman"/>
          <w:b/>
          <w:bCs/>
          <w:sz w:val="20"/>
          <w:szCs w:val="20"/>
        </w:rPr>
        <w:t xml:space="preserve"> DL-CE enabled UEs</w:t>
      </w:r>
      <w:r>
        <w:rPr>
          <w:rFonts w:ascii="Times New Roman" w:hAnsi="Times New Roman" w:cs="Times New Roman"/>
          <w:b/>
          <w:bCs/>
          <w:sz w:val="20"/>
          <w:szCs w:val="20"/>
        </w:rPr>
        <w:t>.</w:t>
      </w:r>
      <w:r w:rsidRPr="00130FBE">
        <w:rPr>
          <w:rFonts w:ascii="Times New Roman" w:hAnsi="Times New Roman" w:cs="Times New Roman"/>
          <w:b/>
          <w:bCs/>
          <w:sz w:val="20"/>
          <w:szCs w:val="20"/>
        </w:rPr>
        <w:t xml:space="preserve"> </w:t>
      </w:r>
    </w:p>
    <w:p w14:paraId="69B7B8E6" w14:textId="403FB5ED" w:rsidR="009339CB" w:rsidRPr="006E13D1" w:rsidRDefault="005A13AB" w:rsidP="00637712">
      <w:pPr>
        <w:pStyle w:val="Heading1"/>
      </w:pPr>
      <w:r>
        <w:t>3</w:t>
      </w:r>
      <w:r w:rsidR="009339CB" w:rsidRPr="006E13D1">
        <w:tab/>
      </w:r>
      <w:r w:rsidR="009339CB">
        <w:t>Conclusion</w:t>
      </w:r>
    </w:p>
    <w:p w14:paraId="6E24B0F4" w14:textId="75855638" w:rsidR="009339CB" w:rsidRDefault="009339CB" w:rsidP="009339CB">
      <w:r>
        <w:t>This document has made the following observations</w:t>
      </w:r>
      <w:r w:rsidR="00906B11">
        <w:t xml:space="preserve"> and proposals</w:t>
      </w:r>
      <w:r>
        <w:t>:</w:t>
      </w:r>
    </w:p>
    <w:p w14:paraId="341F83C6" w14:textId="77777777" w:rsidR="00FE4843" w:rsidRPr="00B447E7" w:rsidRDefault="00FE4843" w:rsidP="00FE4843">
      <w:pPr>
        <w:rPr>
          <w:b/>
          <w:bCs/>
          <w:lang w:val="en-US"/>
        </w:rPr>
      </w:pPr>
      <w:r w:rsidRPr="00B447E7">
        <w:rPr>
          <w:b/>
          <w:bCs/>
          <w:lang w:val="en-US"/>
        </w:rPr>
        <w:t xml:space="preserve">Proposal </w:t>
      </w:r>
      <w:r>
        <w:rPr>
          <w:b/>
          <w:bCs/>
          <w:lang w:val="en-US"/>
        </w:rPr>
        <w:t>1</w:t>
      </w:r>
      <w:r w:rsidRPr="00B447E7">
        <w:rPr>
          <w:b/>
          <w:bCs/>
          <w:lang w:val="en-US"/>
        </w:rPr>
        <w:t>: RAN2 should refrain from using the term “Beam hopping” and instead focus on defining terms related to beam footprints and their activity.</w:t>
      </w:r>
    </w:p>
    <w:p w14:paraId="380F1D5E" w14:textId="77777777" w:rsidR="00FE4843" w:rsidRDefault="00FE4843" w:rsidP="00FE4843">
      <w:pPr>
        <w:rPr>
          <w:b/>
          <w:bCs/>
          <w:lang w:val="en-US"/>
        </w:rPr>
      </w:pPr>
      <w:r w:rsidRPr="0030188B">
        <w:rPr>
          <w:b/>
          <w:bCs/>
          <w:lang w:val="en-US"/>
        </w:rPr>
        <w:t xml:space="preserve">Proposal </w:t>
      </w:r>
      <w:r>
        <w:rPr>
          <w:b/>
          <w:bCs/>
          <w:lang w:val="en-US"/>
        </w:rPr>
        <w:t>2</w:t>
      </w:r>
      <w:r w:rsidRPr="0030188B">
        <w:rPr>
          <w:b/>
          <w:bCs/>
          <w:lang w:val="en-US"/>
        </w:rPr>
        <w:t>:</w:t>
      </w:r>
      <w:r>
        <w:rPr>
          <w:b/>
          <w:bCs/>
          <w:lang w:val="en-US"/>
        </w:rPr>
        <w:t xml:space="preserve"> RAN2 to</w:t>
      </w:r>
      <w:r w:rsidRPr="0030188B">
        <w:rPr>
          <w:b/>
          <w:bCs/>
          <w:lang w:val="en-US"/>
        </w:rPr>
        <w:t xml:space="preserve"> </w:t>
      </w:r>
      <w:r>
        <w:rPr>
          <w:b/>
          <w:bCs/>
          <w:lang w:val="en-US"/>
        </w:rPr>
        <w:t>f</w:t>
      </w:r>
      <w:r w:rsidRPr="0030188B">
        <w:rPr>
          <w:b/>
          <w:bCs/>
          <w:lang w:val="en-US"/>
        </w:rPr>
        <w:t>ocus on defining signals and procedures that allows for the situation of a satellite not being able to have all satellite beams simultaneously active.</w:t>
      </w:r>
    </w:p>
    <w:p w14:paraId="4C2B073E" w14:textId="77777777" w:rsidR="00FE4843" w:rsidRPr="006D48E8" w:rsidRDefault="00FE4843" w:rsidP="00FE4843">
      <w:pPr>
        <w:jc w:val="both"/>
        <w:rPr>
          <w:b/>
          <w:bCs/>
          <w:lang w:val="en-US"/>
        </w:rPr>
      </w:pPr>
      <w:r w:rsidRPr="006D48E8">
        <w:rPr>
          <w:b/>
          <w:bCs/>
          <w:lang w:val="en-US"/>
        </w:rPr>
        <w:t xml:space="preserve">Proposal </w:t>
      </w:r>
      <w:r>
        <w:rPr>
          <w:b/>
          <w:bCs/>
          <w:lang w:val="en-US"/>
        </w:rPr>
        <w:t>3</w:t>
      </w:r>
      <w:r w:rsidRPr="006D48E8">
        <w:rPr>
          <w:b/>
          <w:bCs/>
          <w:lang w:val="en-US"/>
        </w:rPr>
        <w:t>: RAN2 to include in the study the impact on MIB transmission and reception due to the SSB periodicity extension</w:t>
      </w:r>
      <w:r>
        <w:rPr>
          <w:b/>
          <w:bCs/>
          <w:lang w:val="en-US"/>
        </w:rPr>
        <w:t xml:space="preserve"> e.g. allowing MIB periodicity to follow SSB even for periods lower than 80 ms, and to prevent a joint configuration of CORESET multiplexing pattern 1 together with SSB periods longer than 20 ms</w:t>
      </w:r>
      <w:r w:rsidRPr="006D48E8">
        <w:rPr>
          <w:b/>
          <w:bCs/>
          <w:lang w:val="en-US"/>
        </w:rPr>
        <w:t>.</w:t>
      </w:r>
    </w:p>
    <w:p w14:paraId="4D44E4B0" w14:textId="77777777" w:rsidR="00FE4843" w:rsidRPr="00530547" w:rsidRDefault="00FE4843" w:rsidP="00FE4843">
      <w:pPr>
        <w:jc w:val="both"/>
        <w:rPr>
          <w:b/>
          <w:bCs/>
          <w:lang w:val="en-US"/>
        </w:rPr>
      </w:pPr>
      <w:r w:rsidRPr="00530547">
        <w:rPr>
          <w:b/>
          <w:bCs/>
          <w:lang w:val="en-US"/>
        </w:rPr>
        <w:t xml:space="preserve">Observation </w:t>
      </w:r>
      <w:r>
        <w:rPr>
          <w:b/>
          <w:bCs/>
          <w:lang w:val="en-US"/>
        </w:rPr>
        <w:t>1</w:t>
      </w:r>
      <w:r w:rsidRPr="00530547">
        <w:rPr>
          <w:b/>
          <w:bCs/>
          <w:lang w:val="en-US"/>
        </w:rPr>
        <w:t>:</w:t>
      </w:r>
      <w:r>
        <w:rPr>
          <w:b/>
          <w:bCs/>
          <w:lang w:val="en-US"/>
        </w:rPr>
        <w:t xml:space="preserve"> SMTC configuration using the existing number of SMTC windows is not possible.</w:t>
      </w:r>
    </w:p>
    <w:p w14:paraId="046A04CA" w14:textId="77777777" w:rsidR="00FE4843" w:rsidRPr="00530547" w:rsidRDefault="00FE4843" w:rsidP="00FE4843">
      <w:pPr>
        <w:jc w:val="both"/>
        <w:rPr>
          <w:b/>
          <w:bCs/>
          <w:lang w:val="en-US"/>
        </w:rPr>
      </w:pPr>
      <w:r w:rsidRPr="00530547">
        <w:rPr>
          <w:b/>
          <w:bCs/>
          <w:lang w:val="en-US"/>
        </w:rPr>
        <w:t xml:space="preserve">Observation </w:t>
      </w:r>
      <w:r>
        <w:rPr>
          <w:b/>
          <w:bCs/>
          <w:lang w:val="en-US"/>
        </w:rPr>
        <w:t>2</w:t>
      </w:r>
      <w:r w:rsidRPr="00530547">
        <w:rPr>
          <w:b/>
          <w:bCs/>
          <w:lang w:val="en-US"/>
        </w:rPr>
        <w:t>: Configuring SMTC windows covering group of SSB measurements will be very energy inefficient.</w:t>
      </w:r>
    </w:p>
    <w:p w14:paraId="114CB6CC" w14:textId="77777777" w:rsidR="00FE4843" w:rsidRDefault="00FE4843" w:rsidP="00FE4843">
      <w:pPr>
        <w:jc w:val="both"/>
        <w:rPr>
          <w:b/>
          <w:bCs/>
          <w:lang w:val="en-US"/>
        </w:rPr>
      </w:pPr>
      <w:r>
        <w:rPr>
          <w:b/>
          <w:bCs/>
          <w:lang w:val="en-US"/>
        </w:rPr>
        <w:t>Proposal</w:t>
      </w:r>
      <w:r w:rsidRPr="00530547">
        <w:rPr>
          <w:b/>
          <w:bCs/>
          <w:lang w:val="en-US"/>
        </w:rPr>
        <w:t xml:space="preserve"> </w:t>
      </w:r>
      <w:r>
        <w:rPr>
          <w:b/>
          <w:bCs/>
          <w:lang w:val="en-US"/>
        </w:rPr>
        <w:t>4: RAN2 to assume that there is no distinct pattern to be configured e.g. for SMTC windows and at least the number of SMTC windows must be extended.</w:t>
      </w:r>
    </w:p>
    <w:p w14:paraId="694A70CC" w14:textId="77777777" w:rsidR="00FE4843" w:rsidRDefault="00FE4843" w:rsidP="00FE4843">
      <w:pPr>
        <w:rPr>
          <w:b/>
          <w:bCs/>
        </w:rPr>
      </w:pPr>
      <w:r w:rsidRPr="00637712">
        <w:rPr>
          <w:b/>
          <w:bCs/>
        </w:rPr>
        <w:t xml:space="preserve">Observation </w:t>
      </w:r>
      <w:r>
        <w:rPr>
          <w:b/>
          <w:bCs/>
        </w:rPr>
        <w:t>3</w:t>
      </w:r>
      <w:r w:rsidRPr="00637712">
        <w:rPr>
          <w:b/>
          <w:bCs/>
        </w:rPr>
        <w:t xml:space="preserve">: </w:t>
      </w:r>
      <w:r>
        <w:rPr>
          <w:b/>
          <w:bCs/>
        </w:rPr>
        <w:t>SMTC window configuration of all possible SSB transmissions of neighbouring cells is energy inefficient.</w:t>
      </w:r>
    </w:p>
    <w:p w14:paraId="62D522F6" w14:textId="77777777" w:rsidR="00FE4843" w:rsidRDefault="00FE4843" w:rsidP="00FE4843">
      <w:pPr>
        <w:rPr>
          <w:b/>
          <w:bCs/>
        </w:rPr>
      </w:pPr>
      <w:r>
        <w:rPr>
          <w:b/>
          <w:bCs/>
        </w:rPr>
        <w:t>Observation</w:t>
      </w:r>
      <w:r w:rsidRPr="00637712">
        <w:rPr>
          <w:b/>
          <w:bCs/>
        </w:rPr>
        <w:t xml:space="preserve"> </w:t>
      </w:r>
      <w:r>
        <w:rPr>
          <w:b/>
          <w:bCs/>
        </w:rPr>
        <w:t>4</w:t>
      </w:r>
      <w:r w:rsidRPr="00637712">
        <w:rPr>
          <w:b/>
          <w:bCs/>
        </w:rPr>
        <w:t>:</w:t>
      </w:r>
      <w:r>
        <w:rPr>
          <w:b/>
          <w:bCs/>
        </w:rPr>
        <w:t xml:space="preserve"> Location based SMTC configuration may be a solution to optimising the energy consumption of an NR NTN UE performing neighbour cell measurements on a subset of the configured SMTC windows.</w:t>
      </w:r>
    </w:p>
    <w:p w14:paraId="25AB1F38" w14:textId="77777777" w:rsidR="00FE4843" w:rsidRDefault="00FE4843" w:rsidP="00FE4843">
      <w:pPr>
        <w:rPr>
          <w:b/>
          <w:bCs/>
        </w:rPr>
      </w:pPr>
      <w:r>
        <w:rPr>
          <w:b/>
          <w:bCs/>
        </w:rPr>
        <w:t>Observation 5: Location based SMTC configuration provide additional signalling overhead and requires a UE to be aware of the relative location between not only the gNB but also all neighbouring cells.</w:t>
      </w:r>
    </w:p>
    <w:p w14:paraId="4B638F8D" w14:textId="77777777" w:rsidR="00FE4843" w:rsidRPr="005124BE" w:rsidRDefault="00FE4843" w:rsidP="00FE4843">
      <w:pPr>
        <w:rPr>
          <w:b/>
          <w:bCs/>
          <w:lang w:val="en-US"/>
        </w:rPr>
      </w:pPr>
      <w:r w:rsidRPr="005124BE">
        <w:rPr>
          <w:b/>
          <w:bCs/>
        </w:rPr>
        <w:t xml:space="preserve">Observation </w:t>
      </w:r>
      <w:r>
        <w:rPr>
          <w:b/>
          <w:bCs/>
        </w:rPr>
        <w:t>6</w:t>
      </w:r>
      <w:r w:rsidRPr="005124BE">
        <w:rPr>
          <w:b/>
          <w:bCs/>
        </w:rPr>
        <w:t xml:space="preserve">: Optimal SMTC window configuration may be </w:t>
      </w:r>
      <w:r>
        <w:rPr>
          <w:b/>
          <w:bCs/>
        </w:rPr>
        <w:t>dynamic for a given UE if we account not only for SSB transmission but also data transmission.</w:t>
      </w:r>
    </w:p>
    <w:p w14:paraId="6C34234D" w14:textId="77777777" w:rsidR="00FE4843" w:rsidRDefault="00FE4843" w:rsidP="00FE4843">
      <w:pPr>
        <w:rPr>
          <w:b/>
          <w:bCs/>
          <w:lang w:val="en-US"/>
        </w:rPr>
      </w:pPr>
      <w:r>
        <w:rPr>
          <w:b/>
          <w:bCs/>
          <w:lang w:val="en-US"/>
        </w:rPr>
        <w:t>Proposal 5: RAN2 to study at least four aspects of downlink coverage enhancements</w:t>
      </w:r>
    </w:p>
    <w:p w14:paraId="273B4260" w14:textId="77777777" w:rsidR="00FE4843" w:rsidRDefault="00FE4843" w:rsidP="00FE4843">
      <w:pPr>
        <w:pStyle w:val="ListParagraph"/>
        <w:numPr>
          <w:ilvl w:val="0"/>
          <w:numId w:val="23"/>
        </w:numPr>
        <w:rPr>
          <w:b/>
          <w:bCs/>
          <w:lang w:val="en-US"/>
        </w:rPr>
      </w:pPr>
      <w:r>
        <w:rPr>
          <w:b/>
          <w:bCs/>
          <w:lang w:val="en-US"/>
        </w:rPr>
        <w:t>Increasing the number and duration of SMTC windows;</w:t>
      </w:r>
    </w:p>
    <w:p w14:paraId="276E2B07" w14:textId="77777777" w:rsidR="00FE4843" w:rsidRPr="005F24E7" w:rsidRDefault="00FE4843" w:rsidP="00FE4843">
      <w:pPr>
        <w:pStyle w:val="ListParagraph"/>
        <w:numPr>
          <w:ilvl w:val="0"/>
          <w:numId w:val="23"/>
        </w:numPr>
        <w:rPr>
          <w:b/>
          <w:bCs/>
          <w:lang w:val="en-US"/>
        </w:rPr>
      </w:pPr>
      <w:r>
        <w:rPr>
          <w:b/>
          <w:bCs/>
          <w:lang w:val="en-US"/>
        </w:rPr>
        <w:t xml:space="preserve">Allowing </w:t>
      </w:r>
      <w:r w:rsidRPr="001D5D6F">
        <w:rPr>
          <w:b/>
          <w:lang w:val="en-US"/>
        </w:rPr>
        <w:t xml:space="preserve">a UE can do </w:t>
      </w:r>
      <w:r>
        <w:rPr>
          <w:b/>
          <w:lang w:val="en-US"/>
        </w:rPr>
        <w:t>a</w:t>
      </w:r>
      <w:r w:rsidRPr="001D5D6F">
        <w:rPr>
          <w:b/>
          <w:lang w:val="en-US"/>
        </w:rPr>
        <w:t xml:space="preserve"> scan for ne</w:t>
      </w:r>
      <w:r>
        <w:rPr>
          <w:b/>
          <w:lang w:val="en-US"/>
        </w:rPr>
        <w:t>i</w:t>
      </w:r>
      <w:r w:rsidRPr="001D5D6F">
        <w:rPr>
          <w:b/>
          <w:lang w:val="en-US"/>
        </w:rPr>
        <w:t>ghbor</w:t>
      </w:r>
      <w:r>
        <w:rPr>
          <w:b/>
          <w:lang w:val="en-US"/>
        </w:rPr>
        <w:t>ing cells</w:t>
      </w:r>
      <w:r w:rsidRPr="001D5D6F">
        <w:rPr>
          <w:b/>
          <w:lang w:val="en-US"/>
        </w:rPr>
        <w:t xml:space="preserve"> </w:t>
      </w:r>
      <w:r>
        <w:rPr>
          <w:b/>
          <w:lang w:val="en-US"/>
        </w:rPr>
        <w:t>over a period and to limit the measurements afterwards to the relevant cells</w:t>
      </w:r>
    </w:p>
    <w:p w14:paraId="48757054" w14:textId="77777777" w:rsidR="00FE4843" w:rsidRPr="00D77B6F" w:rsidRDefault="00FE4843" w:rsidP="00FE4843">
      <w:pPr>
        <w:pStyle w:val="ListParagraph"/>
        <w:numPr>
          <w:ilvl w:val="0"/>
          <w:numId w:val="23"/>
        </w:numPr>
        <w:rPr>
          <w:b/>
          <w:bCs/>
          <w:lang w:val="en-US"/>
        </w:rPr>
      </w:pPr>
      <w:r>
        <w:rPr>
          <w:b/>
        </w:rPr>
        <w:t>Setting the SSB period to a lower value during mobility events in case of Earth Fixed Cells.</w:t>
      </w:r>
    </w:p>
    <w:p w14:paraId="2E30BA46" w14:textId="77777777" w:rsidR="00FE4843" w:rsidRPr="00926D81" w:rsidRDefault="00FE4843" w:rsidP="00FE4843">
      <w:pPr>
        <w:pStyle w:val="paragraph"/>
        <w:spacing w:after="120"/>
        <w:jc w:val="both"/>
        <w:textAlignment w:val="baseline"/>
        <w:rPr>
          <w:rFonts w:ascii="Times New Roman" w:hAnsi="Times New Roman" w:cs="Times New Roman"/>
          <w:b/>
          <w:bCs/>
          <w:sz w:val="20"/>
          <w:szCs w:val="20"/>
        </w:rPr>
      </w:pPr>
      <w:r w:rsidRPr="00926D81">
        <w:rPr>
          <w:rFonts w:ascii="Times New Roman" w:hAnsi="Times New Roman" w:cs="Times New Roman"/>
          <w:b/>
          <w:bCs/>
          <w:sz w:val="20"/>
          <w:szCs w:val="20"/>
        </w:rPr>
        <w:t>Observation 7: The need for a barring bit may also depend on whether RAN1 believes the MIB can be read by non DL-CE enabled UEs, but this is up to RAN1</w:t>
      </w:r>
    </w:p>
    <w:p w14:paraId="35F222F4" w14:textId="4E16E96A" w:rsidR="00080512" w:rsidRPr="00906B11" w:rsidRDefault="00FE4843" w:rsidP="00FE4843">
      <w:pPr>
        <w:pStyle w:val="paragraph"/>
        <w:spacing w:before="0" w:beforeAutospacing="0" w:after="120" w:afterAutospacing="0" w:line="240" w:lineRule="auto"/>
        <w:jc w:val="both"/>
        <w:textAlignment w:val="baseline"/>
      </w:pPr>
      <w:r w:rsidRPr="00130FBE">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130FBE">
        <w:rPr>
          <w:rFonts w:ascii="Times New Roman" w:hAnsi="Times New Roman" w:cs="Times New Roman"/>
          <w:b/>
          <w:bCs/>
          <w:sz w:val="20"/>
          <w:szCs w:val="20"/>
        </w:rPr>
        <w:t>: RAN</w:t>
      </w:r>
      <w:r>
        <w:rPr>
          <w:rFonts w:ascii="Times New Roman" w:hAnsi="Times New Roman" w:cs="Times New Roman"/>
          <w:b/>
          <w:bCs/>
          <w:sz w:val="20"/>
          <w:szCs w:val="20"/>
        </w:rPr>
        <w:t>2</w:t>
      </w:r>
      <w:r w:rsidRPr="00130FBE">
        <w:rPr>
          <w:rFonts w:ascii="Times New Roman" w:hAnsi="Times New Roman" w:cs="Times New Roman"/>
          <w:b/>
          <w:bCs/>
          <w:sz w:val="20"/>
          <w:szCs w:val="20"/>
        </w:rPr>
        <w:t xml:space="preserve"> </w:t>
      </w:r>
      <w:r>
        <w:rPr>
          <w:rFonts w:ascii="Times New Roman" w:hAnsi="Times New Roman" w:cs="Times New Roman"/>
          <w:b/>
          <w:bCs/>
          <w:sz w:val="20"/>
          <w:szCs w:val="20"/>
        </w:rPr>
        <w:t>ask RAN1 whether the MIB can be read by non DL-CE enabled UEs.</w:t>
      </w:r>
      <w:r w:rsidRPr="00130FBE">
        <w:rPr>
          <w:rFonts w:ascii="Times New Roman" w:hAnsi="Times New Roman" w:cs="Times New Roman"/>
          <w:b/>
          <w:bCs/>
          <w:sz w:val="20"/>
          <w:szCs w:val="20"/>
        </w:rPr>
        <w:t xml:space="preserve"> </w:t>
      </w:r>
    </w:p>
    <w:sectPr w:rsidR="00080512" w:rsidRPr="00906B11">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3F677B" w14:textId="77777777" w:rsidR="00736196" w:rsidRDefault="00736196">
      <w:r>
        <w:separator/>
      </w:r>
    </w:p>
  </w:endnote>
  <w:endnote w:type="continuationSeparator" w:id="0">
    <w:p w14:paraId="13C81DFB" w14:textId="77777777" w:rsidR="00736196" w:rsidRDefault="00736196">
      <w:r>
        <w:continuationSeparator/>
      </w:r>
    </w:p>
  </w:endnote>
  <w:endnote w:type="continuationNotice" w:id="1">
    <w:p w14:paraId="5F02A0FA" w14:textId="77777777" w:rsidR="00736196" w:rsidRDefault="007361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4CAB1E" w14:textId="77777777" w:rsidR="00736196" w:rsidRDefault="00736196">
      <w:r>
        <w:separator/>
      </w:r>
    </w:p>
  </w:footnote>
  <w:footnote w:type="continuationSeparator" w:id="0">
    <w:p w14:paraId="214E497F" w14:textId="77777777" w:rsidR="00736196" w:rsidRDefault="00736196">
      <w:r>
        <w:continuationSeparator/>
      </w:r>
    </w:p>
  </w:footnote>
  <w:footnote w:type="continuationNotice" w:id="1">
    <w:p w14:paraId="14D51831" w14:textId="77777777" w:rsidR="00736196" w:rsidRDefault="007361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E3F1C"/>
    <w:multiLevelType w:val="hybridMultilevel"/>
    <w:tmpl w:val="AC002C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66A05FE5"/>
    <w:multiLevelType w:val="hybridMultilevel"/>
    <w:tmpl w:val="5130FDAE"/>
    <w:lvl w:ilvl="0" w:tplc="04090001">
      <w:start w:val="1"/>
      <w:numFmt w:val="bullet"/>
      <w:lvlText w:val=""/>
      <w:lvlJc w:val="left"/>
      <w:pPr>
        <w:ind w:left="1007" w:hanging="360"/>
      </w:pPr>
      <w:rPr>
        <w:rFonts w:ascii="Symbol" w:hAnsi="Symbol" w:hint="default"/>
      </w:rPr>
    </w:lvl>
    <w:lvl w:ilvl="1" w:tplc="04090003" w:tentative="1">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22" w15:restartNumberingAfterBreak="0">
    <w:nsid w:val="78E6709B"/>
    <w:multiLevelType w:val="hybridMultilevel"/>
    <w:tmpl w:val="8A5EB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7"/>
  </w:num>
  <w:num w:numId="5" w16cid:durableId="630793192">
    <w:abstractNumId w:val="16"/>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340620260">
    <w:abstractNumId w:val="14"/>
  </w:num>
  <w:num w:numId="19" w16cid:durableId="1263688658">
    <w:abstractNumId w:val="15"/>
  </w:num>
  <w:num w:numId="20" w16cid:durableId="600380691">
    <w:abstractNumId w:val="18"/>
  </w:num>
  <w:num w:numId="21" w16cid:durableId="1432239334">
    <w:abstractNumId w:val="22"/>
  </w:num>
  <w:num w:numId="22" w16cid:durableId="1632710328">
    <w:abstractNumId w:val="11"/>
  </w:num>
  <w:num w:numId="23" w16cid:durableId="1918708527">
    <w:abstractNumId w:val="21"/>
  </w:num>
  <w:num w:numId="24" w16cid:durableId="145721658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A68"/>
    <w:rsid w:val="000034A5"/>
    <w:rsid w:val="00006C10"/>
    <w:rsid w:val="00012776"/>
    <w:rsid w:val="00016557"/>
    <w:rsid w:val="00017B95"/>
    <w:rsid w:val="00023C40"/>
    <w:rsid w:val="0002507D"/>
    <w:rsid w:val="0002598D"/>
    <w:rsid w:val="000329E4"/>
    <w:rsid w:val="00033397"/>
    <w:rsid w:val="00033744"/>
    <w:rsid w:val="00040095"/>
    <w:rsid w:val="00044100"/>
    <w:rsid w:val="00046118"/>
    <w:rsid w:val="00050A95"/>
    <w:rsid w:val="00053EAC"/>
    <w:rsid w:val="00064A33"/>
    <w:rsid w:val="00064DA3"/>
    <w:rsid w:val="00065268"/>
    <w:rsid w:val="00073C9C"/>
    <w:rsid w:val="00076412"/>
    <w:rsid w:val="00080512"/>
    <w:rsid w:val="000819FC"/>
    <w:rsid w:val="00090468"/>
    <w:rsid w:val="00092A37"/>
    <w:rsid w:val="00094568"/>
    <w:rsid w:val="0009577E"/>
    <w:rsid w:val="000B5FC2"/>
    <w:rsid w:val="000B7BCF"/>
    <w:rsid w:val="000C522B"/>
    <w:rsid w:val="000D3DFC"/>
    <w:rsid w:val="000D58AB"/>
    <w:rsid w:val="000F31E7"/>
    <w:rsid w:val="000F7E2C"/>
    <w:rsid w:val="00102ABB"/>
    <w:rsid w:val="0010520B"/>
    <w:rsid w:val="0010739E"/>
    <w:rsid w:val="001127E3"/>
    <w:rsid w:val="00112F1A"/>
    <w:rsid w:val="00123806"/>
    <w:rsid w:val="0012570F"/>
    <w:rsid w:val="0012610D"/>
    <w:rsid w:val="0012687C"/>
    <w:rsid w:val="00134745"/>
    <w:rsid w:val="00141106"/>
    <w:rsid w:val="00145075"/>
    <w:rsid w:val="0015615D"/>
    <w:rsid w:val="0016366E"/>
    <w:rsid w:val="001660DE"/>
    <w:rsid w:val="001741A0"/>
    <w:rsid w:val="00175FA0"/>
    <w:rsid w:val="0018542A"/>
    <w:rsid w:val="00194CD0"/>
    <w:rsid w:val="001A552C"/>
    <w:rsid w:val="001B49C9"/>
    <w:rsid w:val="001B56AB"/>
    <w:rsid w:val="001B6BA6"/>
    <w:rsid w:val="001C23F4"/>
    <w:rsid w:val="001C4F79"/>
    <w:rsid w:val="001D5528"/>
    <w:rsid w:val="001D5C88"/>
    <w:rsid w:val="001F168B"/>
    <w:rsid w:val="001F7831"/>
    <w:rsid w:val="00204045"/>
    <w:rsid w:val="00205F3A"/>
    <w:rsid w:val="0020712B"/>
    <w:rsid w:val="002151BD"/>
    <w:rsid w:val="00216379"/>
    <w:rsid w:val="00223450"/>
    <w:rsid w:val="002244FB"/>
    <w:rsid w:val="0022606D"/>
    <w:rsid w:val="00230210"/>
    <w:rsid w:val="00231728"/>
    <w:rsid w:val="00232508"/>
    <w:rsid w:val="00244A05"/>
    <w:rsid w:val="00245E3E"/>
    <w:rsid w:val="00250404"/>
    <w:rsid w:val="00251A44"/>
    <w:rsid w:val="00252650"/>
    <w:rsid w:val="00252E5C"/>
    <w:rsid w:val="00255029"/>
    <w:rsid w:val="00256B74"/>
    <w:rsid w:val="002610D8"/>
    <w:rsid w:val="002619A8"/>
    <w:rsid w:val="002644AB"/>
    <w:rsid w:val="00272B48"/>
    <w:rsid w:val="002747EC"/>
    <w:rsid w:val="002812D3"/>
    <w:rsid w:val="0028526A"/>
    <w:rsid w:val="002855BF"/>
    <w:rsid w:val="00290A7C"/>
    <w:rsid w:val="00291785"/>
    <w:rsid w:val="00295BA0"/>
    <w:rsid w:val="002A00B4"/>
    <w:rsid w:val="002A4073"/>
    <w:rsid w:val="002A46E4"/>
    <w:rsid w:val="002B2988"/>
    <w:rsid w:val="002D1A05"/>
    <w:rsid w:val="002D354B"/>
    <w:rsid w:val="002D7B85"/>
    <w:rsid w:val="002F0D22"/>
    <w:rsid w:val="002F1236"/>
    <w:rsid w:val="0030551E"/>
    <w:rsid w:val="00311B17"/>
    <w:rsid w:val="003151AF"/>
    <w:rsid w:val="00316A30"/>
    <w:rsid w:val="003172DC"/>
    <w:rsid w:val="0032559C"/>
    <w:rsid w:val="00325AE3"/>
    <w:rsid w:val="00326069"/>
    <w:rsid w:val="003344A1"/>
    <w:rsid w:val="0033533E"/>
    <w:rsid w:val="0035462D"/>
    <w:rsid w:val="0036459E"/>
    <w:rsid w:val="00364B41"/>
    <w:rsid w:val="003654E6"/>
    <w:rsid w:val="003666F2"/>
    <w:rsid w:val="00383096"/>
    <w:rsid w:val="00383733"/>
    <w:rsid w:val="00384937"/>
    <w:rsid w:val="0039346C"/>
    <w:rsid w:val="0039486C"/>
    <w:rsid w:val="00395946"/>
    <w:rsid w:val="003A0710"/>
    <w:rsid w:val="003A41EF"/>
    <w:rsid w:val="003A4ED8"/>
    <w:rsid w:val="003B40AD"/>
    <w:rsid w:val="003C4E37"/>
    <w:rsid w:val="003D0FD0"/>
    <w:rsid w:val="003D6B42"/>
    <w:rsid w:val="003D7AAB"/>
    <w:rsid w:val="003E16BE"/>
    <w:rsid w:val="003F2A35"/>
    <w:rsid w:val="003F4E28"/>
    <w:rsid w:val="003F76B6"/>
    <w:rsid w:val="004006E8"/>
    <w:rsid w:val="00401855"/>
    <w:rsid w:val="00415C35"/>
    <w:rsid w:val="00416E75"/>
    <w:rsid w:val="00424FA1"/>
    <w:rsid w:val="00425CBE"/>
    <w:rsid w:val="0044378E"/>
    <w:rsid w:val="00446C38"/>
    <w:rsid w:val="00446C3A"/>
    <w:rsid w:val="00465587"/>
    <w:rsid w:val="00477455"/>
    <w:rsid w:val="004800B4"/>
    <w:rsid w:val="004A1F7B"/>
    <w:rsid w:val="004B4C4A"/>
    <w:rsid w:val="004C44D2"/>
    <w:rsid w:val="004D076D"/>
    <w:rsid w:val="004D3578"/>
    <w:rsid w:val="004D380D"/>
    <w:rsid w:val="004E213A"/>
    <w:rsid w:val="004E6E79"/>
    <w:rsid w:val="004E7553"/>
    <w:rsid w:val="004F0391"/>
    <w:rsid w:val="004F2B5C"/>
    <w:rsid w:val="004F3258"/>
    <w:rsid w:val="004F4540"/>
    <w:rsid w:val="004F73A7"/>
    <w:rsid w:val="0050205D"/>
    <w:rsid w:val="00503130"/>
    <w:rsid w:val="00503171"/>
    <w:rsid w:val="00506C28"/>
    <w:rsid w:val="005124BE"/>
    <w:rsid w:val="0051763C"/>
    <w:rsid w:val="00521D68"/>
    <w:rsid w:val="00530547"/>
    <w:rsid w:val="00530829"/>
    <w:rsid w:val="005328C8"/>
    <w:rsid w:val="00534DA0"/>
    <w:rsid w:val="0053754C"/>
    <w:rsid w:val="00537809"/>
    <w:rsid w:val="00541A65"/>
    <w:rsid w:val="005432D9"/>
    <w:rsid w:val="00543E6C"/>
    <w:rsid w:val="00553C03"/>
    <w:rsid w:val="00565087"/>
    <w:rsid w:val="0056573F"/>
    <w:rsid w:val="00571279"/>
    <w:rsid w:val="00573250"/>
    <w:rsid w:val="00575FC5"/>
    <w:rsid w:val="00584165"/>
    <w:rsid w:val="0058646B"/>
    <w:rsid w:val="00592930"/>
    <w:rsid w:val="005A13AB"/>
    <w:rsid w:val="005A1A43"/>
    <w:rsid w:val="005A1BC2"/>
    <w:rsid w:val="005A3A67"/>
    <w:rsid w:val="005A4356"/>
    <w:rsid w:val="005A49C6"/>
    <w:rsid w:val="005A53CB"/>
    <w:rsid w:val="005B6186"/>
    <w:rsid w:val="005B6C1C"/>
    <w:rsid w:val="005C766E"/>
    <w:rsid w:val="005C7CD5"/>
    <w:rsid w:val="005F24E7"/>
    <w:rsid w:val="005F404F"/>
    <w:rsid w:val="005F5135"/>
    <w:rsid w:val="006001B8"/>
    <w:rsid w:val="00606A80"/>
    <w:rsid w:val="00607DE4"/>
    <w:rsid w:val="00611566"/>
    <w:rsid w:val="00620E22"/>
    <w:rsid w:val="006300EC"/>
    <w:rsid w:val="00634C22"/>
    <w:rsid w:val="00634DD1"/>
    <w:rsid w:val="00637712"/>
    <w:rsid w:val="0064012B"/>
    <w:rsid w:val="00645014"/>
    <w:rsid w:val="0064542D"/>
    <w:rsid w:val="00646BC9"/>
    <w:rsid w:val="00646D99"/>
    <w:rsid w:val="00656910"/>
    <w:rsid w:val="006574C0"/>
    <w:rsid w:val="00661F8F"/>
    <w:rsid w:val="00665568"/>
    <w:rsid w:val="00670B9D"/>
    <w:rsid w:val="00672105"/>
    <w:rsid w:val="00677B04"/>
    <w:rsid w:val="00696821"/>
    <w:rsid w:val="006B00BA"/>
    <w:rsid w:val="006B1422"/>
    <w:rsid w:val="006B60F3"/>
    <w:rsid w:val="006C66D8"/>
    <w:rsid w:val="006C7E94"/>
    <w:rsid w:val="006D1E24"/>
    <w:rsid w:val="006D35DE"/>
    <w:rsid w:val="006D48E8"/>
    <w:rsid w:val="006E03E0"/>
    <w:rsid w:val="006E1057"/>
    <w:rsid w:val="006E1417"/>
    <w:rsid w:val="006E379C"/>
    <w:rsid w:val="006F22EB"/>
    <w:rsid w:val="006F6A2C"/>
    <w:rsid w:val="006F6A5C"/>
    <w:rsid w:val="007037FA"/>
    <w:rsid w:val="00705EFB"/>
    <w:rsid w:val="007069DC"/>
    <w:rsid w:val="00710201"/>
    <w:rsid w:val="0072073A"/>
    <w:rsid w:val="00721854"/>
    <w:rsid w:val="007236B8"/>
    <w:rsid w:val="00723B23"/>
    <w:rsid w:val="007342B5"/>
    <w:rsid w:val="00734A5B"/>
    <w:rsid w:val="00736196"/>
    <w:rsid w:val="00736C6C"/>
    <w:rsid w:val="0074367E"/>
    <w:rsid w:val="00744E76"/>
    <w:rsid w:val="0074723A"/>
    <w:rsid w:val="00752214"/>
    <w:rsid w:val="00754B8B"/>
    <w:rsid w:val="00757D40"/>
    <w:rsid w:val="007662B5"/>
    <w:rsid w:val="007746B2"/>
    <w:rsid w:val="00781F0F"/>
    <w:rsid w:val="00784447"/>
    <w:rsid w:val="00784DF2"/>
    <w:rsid w:val="0078727C"/>
    <w:rsid w:val="00787A69"/>
    <w:rsid w:val="00787BD4"/>
    <w:rsid w:val="0079049D"/>
    <w:rsid w:val="00791032"/>
    <w:rsid w:val="0079370A"/>
    <w:rsid w:val="00793DC5"/>
    <w:rsid w:val="00796823"/>
    <w:rsid w:val="007A2E55"/>
    <w:rsid w:val="007B18D8"/>
    <w:rsid w:val="007B1E8B"/>
    <w:rsid w:val="007B400F"/>
    <w:rsid w:val="007C095F"/>
    <w:rsid w:val="007C2DD0"/>
    <w:rsid w:val="007D00A7"/>
    <w:rsid w:val="007E3F66"/>
    <w:rsid w:val="007E7792"/>
    <w:rsid w:val="007F2E08"/>
    <w:rsid w:val="007F7E12"/>
    <w:rsid w:val="0080193F"/>
    <w:rsid w:val="008024FA"/>
    <w:rsid w:val="008028A4"/>
    <w:rsid w:val="00813245"/>
    <w:rsid w:val="0083014F"/>
    <w:rsid w:val="00840DE0"/>
    <w:rsid w:val="00847CD0"/>
    <w:rsid w:val="00852FB9"/>
    <w:rsid w:val="0086024C"/>
    <w:rsid w:val="008607A8"/>
    <w:rsid w:val="00862702"/>
    <w:rsid w:val="00862AD0"/>
    <w:rsid w:val="0086354A"/>
    <w:rsid w:val="008768CA"/>
    <w:rsid w:val="00877EF9"/>
    <w:rsid w:val="00880559"/>
    <w:rsid w:val="008B4170"/>
    <w:rsid w:val="008B5306"/>
    <w:rsid w:val="008B54E8"/>
    <w:rsid w:val="008C2B81"/>
    <w:rsid w:val="008C2E2A"/>
    <w:rsid w:val="008C3057"/>
    <w:rsid w:val="008C6A89"/>
    <w:rsid w:val="008C7266"/>
    <w:rsid w:val="008D2B7B"/>
    <w:rsid w:val="008D2E4D"/>
    <w:rsid w:val="008E4540"/>
    <w:rsid w:val="008F396F"/>
    <w:rsid w:val="008F3DCD"/>
    <w:rsid w:val="008F3EFB"/>
    <w:rsid w:val="0090271F"/>
    <w:rsid w:val="00902DB9"/>
    <w:rsid w:val="0090466A"/>
    <w:rsid w:val="00905E5A"/>
    <w:rsid w:val="00906A26"/>
    <w:rsid w:val="00906B11"/>
    <w:rsid w:val="00917DB0"/>
    <w:rsid w:val="00923655"/>
    <w:rsid w:val="009248C6"/>
    <w:rsid w:val="00926D81"/>
    <w:rsid w:val="009339CB"/>
    <w:rsid w:val="00935BF1"/>
    <w:rsid w:val="00936071"/>
    <w:rsid w:val="009376CD"/>
    <w:rsid w:val="00940212"/>
    <w:rsid w:val="00942EC2"/>
    <w:rsid w:val="00950924"/>
    <w:rsid w:val="00960CD7"/>
    <w:rsid w:val="009617A7"/>
    <w:rsid w:val="00961B32"/>
    <w:rsid w:val="00962509"/>
    <w:rsid w:val="0096661E"/>
    <w:rsid w:val="00970DB3"/>
    <w:rsid w:val="00971CCA"/>
    <w:rsid w:val="00973619"/>
    <w:rsid w:val="00974BB0"/>
    <w:rsid w:val="00975BCD"/>
    <w:rsid w:val="00980507"/>
    <w:rsid w:val="009818A2"/>
    <w:rsid w:val="00984F2A"/>
    <w:rsid w:val="009861A5"/>
    <w:rsid w:val="00992826"/>
    <w:rsid w:val="009928A9"/>
    <w:rsid w:val="00992AE1"/>
    <w:rsid w:val="00996D15"/>
    <w:rsid w:val="009A0751"/>
    <w:rsid w:val="009A0AF3"/>
    <w:rsid w:val="009A4B4D"/>
    <w:rsid w:val="009A6E8A"/>
    <w:rsid w:val="009B07CD"/>
    <w:rsid w:val="009C19E9"/>
    <w:rsid w:val="009C41BB"/>
    <w:rsid w:val="009D74A6"/>
    <w:rsid w:val="009E04D9"/>
    <w:rsid w:val="009E0E87"/>
    <w:rsid w:val="009E2EE3"/>
    <w:rsid w:val="009F54C0"/>
    <w:rsid w:val="009F580E"/>
    <w:rsid w:val="00A10F02"/>
    <w:rsid w:val="00A11871"/>
    <w:rsid w:val="00A17176"/>
    <w:rsid w:val="00A1764B"/>
    <w:rsid w:val="00A204CA"/>
    <w:rsid w:val="00A209D6"/>
    <w:rsid w:val="00A22738"/>
    <w:rsid w:val="00A23CC5"/>
    <w:rsid w:val="00A2552A"/>
    <w:rsid w:val="00A2759B"/>
    <w:rsid w:val="00A3040D"/>
    <w:rsid w:val="00A31F74"/>
    <w:rsid w:val="00A320DA"/>
    <w:rsid w:val="00A36F5F"/>
    <w:rsid w:val="00A430EC"/>
    <w:rsid w:val="00A53724"/>
    <w:rsid w:val="00A53BCF"/>
    <w:rsid w:val="00A54B2B"/>
    <w:rsid w:val="00A55D64"/>
    <w:rsid w:val="00A64617"/>
    <w:rsid w:val="00A6742D"/>
    <w:rsid w:val="00A703B6"/>
    <w:rsid w:val="00A74150"/>
    <w:rsid w:val="00A77556"/>
    <w:rsid w:val="00A82346"/>
    <w:rsid w:val="00A91664"/>
    <w:rsid w:val="00A95B66"/>
    <w:rsid w:val="00A9671C"/>
    <w:rsid w:val="00AA1553"/>
    <w:rsid w:val="00AA5FDF"/>
    <w:rsid w:val="00AB1288"/>
    <w:rsid w:val="00AB1429"/>
    <w:rsid w:val="00AC1527"/>
    <w:rsid w:val="00AD7E7C"/>
    <w:rsid w:val="00AE60C6"/>
    <w:rsid w:val="00B00443"/>
    <w:rsid w:val="00B00966"/>
    <w:rsid w:val="00B01E84"/>
    <w:rsid w:val="00B05380"/>
    <w:rsid w:val="00B05962"/>
    <w:rsid w:val="00B12056"/>
    <w:rsid w:val="00B15449"/>
    <w:rsid w:val="00B16C2F"/>
    <w:rsid w:val="00B27303"/>
    <w:rsid w:val="00B32A65"/>
    <w:rsid w:val="00B33E75"/>
    <w:rsid w:val="00B3606F"/>
    <w:rsid w:val="00B367CA"/>
    <w:rsid w:val="00B36FF0"/>
    <w:rsid w:val="00B3787C"/>
    <w:rsid w:val="00B447E7"/>
    <w:rsid w:val="00B47FD1"/>
    <w:rsid w:val="00B516BB"/>
    <w:rsid w:val="00B5751D"/>
    <w:rsid w:val="00B669E9"/>
    <w:rsid w:val="00B732E2"/>
    <w:rsid w:val="00B7538C"/>
    <w:rsid w:val="00B80793"/>
    <w:rsid w:val="00B84DB2"/>
    <w:rsid w:val="00B95F83"/>
    <w:rsid w:val="00B96DE5"/>
    <w:rsid w:val="00BA5EBA"/>
    <w:rsid w:val="00BA784D"/>
    <w:rsid w:val="00BC1452"/>
    <w:rsid w:val="00BC3555"/>
    <w:rsid w:val="00BC38A1"/>
    <w:rsid w:val="00BC6B00"/>
    <w:rsid w:val="00BE1371"/>
    <w:rsid w:val="00BF1C57"/>
    <w:rsid w:val="00BF2CEB"/>
    <w:rsid w:val="00C01602"/>
    <w:rsid w:val="00C12B51"/>
    <w:rsid w:val="00C24650"/>
    <w:rsid w:val="00C25465"/>
    <w:rsid w:val="00C267CC"/>
    <w:rsid w:val="00C31806"/>
    <w:rsid w:val="00C33079"/>
    <w:rsid w:val="00C40133"/>
    <w:rsid w:val="00C430EF"/>
    <w:rsid w:val="00C46057"/>
    <w:rsid w:val="00C55A12"/>
    <w:rsid w:val="00C639CC"/>
    <w:rsid w:val="00C6553E"/>
    <w:rsid w:val="00C74EF6"/>
    <w:rsid w:val="00C76950"/>
    <w:rsid w:val="00C83A13"/>
    <w:rsid w:val="00C86F10"/>
    <w:rsid w:val="00C9068C"/>
    <w:rsid w:val="00C92967"/>
    <w:rsid w:val="00C93C6E"/>
    <w:rsid w:val="00C94171"/>
    <w:rsid w:val="00CA2186"/>
    <w:rsid w:val="00CA3D0C"/>
    <w:rsid w:val="00CA4A0E"/>
    <w:rsid w:val="00CA654B"/>
    <w:rsid w:val="00CB384C"/>
    <w:rsid w:val="00CB48A8"/>
    <w:rsid w:val="00CB72B8"/>
    <w:rsid w:val="00CD0BA8"/>
    <w:rsid w:val="00CD34F7"/>
    <w:rsid w:val="00CD37C9"/>
    <w:rsid w:val="00CD4C7B"/>
    <w:rsid w:val="00CD58FE"/>
    <w:rsid w:val="00CE0FFF"/>
    <w:rsid w:val="00CE64A1"/>
    <w:rsid w:val="00CE6F4D"/>
    <w:rsid w:val="00CF0D2A"/>
    <w:rsid w:val="00CF0FA5"/>
    <w:rsid w:val="00D02E67"/>
    <w:rsid w:val="00D1692B"/>
    <w:rsid w:val="00D17E0C"/>
    <w:rsid w:val="00D33BE3"/>
    <w:rsid w:val="00D3792D"/>
    <w:rsid w:val="00D40BCA"/>
    <w:rsid w:val="00D479F5"/>
    <w:rsid w:val="00D50236"/>
    <w:rsid w:val="00D5459E"/>
    <w:rsid w:val="00D54820"/>
    <w:rsid w:val="00D54A19"/>
    <w:rsid w:val="00D55E47"/>
    <w:rsid w:val="00D62E19"/>
    <w:rsid w:val="00D66B9A"/>
    <w:rsid w:val="00D67CD1"/>
    <w:rsid w:val="00D7307F"/>
    <w:rsid w:val="00D738D6"/>
    <w:rsid w:val="00D73988"/>
    <w:rsid w:val="00D74CD8"/>
    <w:rsid w:val="00D77B6F"/>
    <w:rsid w:val="00D80795"/>
    <w:rsid w:val="00D84537"/>
    <w:rsid w:val="00D854BE"/>
    <w:rsid w:val="00D87E00"/>
    <w:rsid w:val="00D9134D"/>
    <w:rsid w:val="00D957BC"/>
    <w:rsid w:val="00D96D11"/>
    <w:rsid w:val="00DA7A03"/>
    <w:rsid w:val="00DB0DB8"/>
    <w:rsid w:val="00DB1818"/>
    <w:rsid w:val="00DB2E33"/>
    <w:rsid w:val="00DC309B"/>
    <w:rsid w:val="00DC4DA2"/>
    <w:rsid w:val="00DC5261"/>
    <w:rsid w:val="00DE25D2"/>
    <w:rsid w:val="00DF1EC8"/>
    <w:rsid w:val="00DF7C20"/>
    <w:rsid w:val="00E01ED8"/>
    <w:rsid w:val="00E038FB"/>
    <w:rsid w:val="00E063EC"/>
    <w:rsid w:val="00E06D3C"/>
    <w:rsid w:val="00E1063F"/>
    <w:rsid w:val="00E23282"/>
    <w:rsid w:val="00E379D8"/>
    <w:rsid w:val="00E400E3"/>
    <w:rsid w:val="00E40364"/>
    <w:rsid w:val="00E45232"/>
    <w:rsid w:val="00E45A3E"/>
    <w:rsid w:val="00E46775"/>
    <w:rsid w:val="00E46C08"/>
    <w:rsid w:val="00E471CF"/>
    <w:rsid w:val="00E50B61"/>
    <w:rsid w:val="00E55424"/>
    <w:rsid w:val="00E62751"/>
    <w:rsid w:val="00E62835"/>
    <w:rsid w:val="00E64318"/>
    <w:rsid w:val="00E6480E"/>
    <w:rsid w:val="00E76B15"/>
    <w:rsid w:val="00E771A9"/>
    <w:rsid w:val="00E77645"/>
    <w:rsid w:val="00E81C87"/>
    <w:rsid w:val="00E832AF"/>
    <w:rsid w:val="00E83697"/>
    <w:rsid w:val="00E859B6"/>
    <w:rsid w:val="00E86544"/>
    <w:rsid w:val="00E91FB8"/>
    <w:rsid w:val="00E97F03"/>
    <w:rsid w:val="00EA66C9"/>
    <w:rsid w:val="00EB3FDF"/>
    <w:rsid w:val="00EB5D32"/>
    <w:rsid w:val="00EC38D6"/>
    <w:rsid w:val="00EC4A25"/>
    <w:rsid w:val="00ED3545"/>
    <w:rsid w:val="00ED3DDF"/>
    <w:rsid w:val="00EE3FD7"/>
    <w:rsid w:val="00EE512C"/>
    <w:rsid w:val="00EE6E57"/>
    <w:rsid w:val="00EE72BD"/>
    <w:rsid w:val="00EF2B6F"/>
    <w:rsid w:val="00EF612C"/>
    <w:rsid w:val="00EF79E2"/>
    <w:rsid w:val="00EF7E75"/>
    <w:rsid w:val="00F025A2"/>
    <w:rsid w:val="00F036E9"/>
    <w:rsid w:val="00F05BD2"/>
    <w:rsid w:val="00F07388"/>
    <w:rsid w:val="00F13851"/>
    <w:rsid w:val="00F14902"/>
    <w:rsid w:val="00F15ED5"/>
    <w:rsid w:val="00F2026E"/>
    <w:rsid w:val="00F2210A"/>
    <w:rsid w:val="00F31372"/>
    <w:rsid w:val="00F37743"/>
    <w:rsid w:val="00F40C2F"/>
    <w:rsid w:val="00F42493"/>
    <w:rsid w:val="00F54681"/>
    <w:rsid w:val="00F54A3D"/>
    <w:rsid w:val="00F54CB0"/>
    <w:rsid w:val="00F579CD"/>
    <w:rsid w:val="00F653B8"/>
    <w:rsid w:val="00F66243"/>
    <w:rsid w:val="00F71B89"/>
    <w:rsid w:val="00F7353C"/>
    <w:rsid w:val="00F757B9"/>
    <w:rsid w:val="00F76F8F"/>
    <w:rsid w:val="00F87048"/>
    <w:rsid w:val="00F87257"/>
    <w:rsid w:val="00F87CAC"/>
    <w:rsid w:val="00F937AA"/>
    <w:rsid w:val="00F941DF"/>
    <w:rsid w:val="00FA1266"/>
    <w:rsid w:val="00FA1B7E"/>
    <w:rsid w:val="00FB36FA"/>
    <w:rsid w:val="00FC1192"/>
    <w:rsid w:val="00FC4C5B"/>
    <w:rsid w:val="00FD1070"/>
    <w:rsid w:val="00FD3DCB"/>
    <w:rsid w:val="00FE106D"/>
    <w:rsid w:val="00FE251B"/>
    <w:rsid w:val="00FE4843"/>
    <w:rsid w:val="00FF44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34BF3CC-1717-42DC-AFF1-2DDA85BE6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Bullets,-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A674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s Char,- Bullets Char,列出段落 Char,リスト段落 Char,?? ?? Char,????? Char,???? Char,Lista1 Char,列出段落1 Char,中等深浅网格 1 - 着色 21 Char,¥ê¥¹¥È¶ÎÂä Char,¥¡¡¡¡ì¬º¥¹¥È¶ÎÂä Char,ÁÐ³ö¶ÎÂä Char,列表段落1 Char,—ño’i—Ž Char,Lettre d'introduction Char"/>
    <w:link w:val="ListParagraph"/>
    <w:uiPriority w:val="34"/>
    <w:qFormat/>
    <w:rsid w:val="00D7307F"/>
    <w:rPr>
      <w:lang w:eastAsia="en-US"/>
    </w:rPr>
  </w:style>
  <w:style w:type="character" w:styleId="CommentReference">
    <w:name w:val="annotation reference"/>
    <w:rsid w:val="00D7307F"/>
    <w:rPr>
      <w:sz w:val="16"/>
    </w:rPr>
  </w:style>
  <w:style w:type="character" w:customStyle="1" w:styleId="CaptionChar1">
    <w:name w:val="Caption Char1"/>
    <w:aliases w:val="cap Char1,cap Char Char,Caption Char Char,Caption Char1 Char Char,cap Char Char1 Char,Caption Char Char1 Char Char,cap Char2 Char,题注 Char"/>
    <w:link w:val="Caption"/>
    <w:rsid w:val="00D7307F"/>
    <w:rPr>
      <w:i/>
      <w:iCs/>
      <w:color w:val="44546A" w:themeColor="text2"/>
      <w:sz w:val="18"/>
      <w:szCs w:val="18"/>
      <w:lang w:eastAsia="en-US"/>
    </w:rPr>
  </w:style>
  <w:style w:type="character" w:styleId="Mention">
    <w:name w:val="Mention"/>
    <w:basedOn w:val="DefaultParagraphFont"/>
    <w:uiPriority w:val="99"/>
    <w:unhideWhenUsed/>
    <w:rsid w:val="00D7307F"/>
    <w:rPr>
      <w:color w:val="2B579A"/>
      <w:shd w:val="clear" w:color="auto" w:fill="E1DFDD"/>
    </w:rPr>
  </w:style>
  <w:style w:type="character" w:customStyle="1" w:styleId="eop">
    <w:name w:val="eop"/>
    <w:basedOn w:val="DefaultParagraphFont"/>
    <w:rsid w:val="00D7307F"/>
  </w:style>
  <w:style w:type="paragraph" w:customStyle="1" w:styleId="paragraph">
    <w:name w:val="paragraph"/>
    <w:basedOn w:val="Normal"/>
    <w:rsid w:val="00D7307F"/>
    <w:pPr>
      <w:spacing w:before="100" w:beforeAutospacing="1" w:after="100" w:afterAutospacing="1" w:line="259" w:lineRule="auto"/>
    </w:pPr>
    <w:rPr>
      <w:rFonts w:asciiTheme="minorHAnsi" w:hAnsiTheme="minorHAnsi" w:cstheme="minorBidi"/>
      <w:kern w:val="2"/>
      <w:sz w:val="24"/>
      <w:szCs w:val="24"/>
      <w:lang w:val="en-US" w:eastAsia="da-DK"/>
      <w14:ligatures w14:val="standardContextual"/>
    </w:rPr>
  </w:style>
  <w:style w:type="character" w:customStyle="1" w:styleId="normaltextrun">
    <w:name w:val="normaltextrun"/>
    <w:basedOn w:val="DefaultParagraphFont"/>
    <w:rsid w:val="00D7307F"/>
  </w:style>
  <w:style w:type="paragraph" w:styleId="Revision">
    <w:name w:val="Revision"/>
    <w:hidden/>
    <w:uiPriority w:val="99"/>
    <w:semiHidden/>
    <w:rsid w:val="00521D6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14324">
      <w:bodyDiv w:val="1"/>
      <w:marLeft w:val="0"/>
      <w:marRight w:val="0"/>
      <w:marTop w:val="0"/>
      <w:marBottom w:val="0"/>
      <w:divBdr>
        <w:top w:val="none" w:sz="0" w:space="0" w:color="auto"/>
        <w:left w:val="none" w:sz="0" w:space="0" w:color="auto"/>
        <w:bottom w:val="none" w:sz="0" w:space="0" w:color="auto"/>
        <w:right w:val="none" w:sz="0" w:space="0" w:color="auto"/>
      </w:divBdr>
    </w:div>
    <w:div w:id="237787835">
      <w:bodyDiv w:val="1"/>
      <w:marLeft w:val="0"/>
      <w:marRight w:val="0"/>
      <w:marTop w:val="0"/>
      <w:marBottom w:val="0"/>
      <w:divBdr>
        <w:top w:val="none" w:sz="0" w:space="0" w:color="auto"/>
        <w:left w:val="none" w:sz="0" w:space="0" w:color="auto"/>
        <w:bottom w:val="none" w:sz="0" w:space="0" w:color="auto"/>
        <w:right w:val="none" w:sz="0" w:space="0" w:color="auto"/>
      </w:divBdr>
    </w:div>
    <w:div w:id="297614843">
      <w:bodyDiv w:val="1"/>
      <w:marLeft w:val="0"/>
      <w:marRight w:val="0"/>
      <w:marTop w:val="0"/>
      <w:marBottom w:val="0"/>
      <w:divBdr>
        <w:top w:val="none" w:sz="0" w:space="0" w:color="auto"/>
        <w:left w:val="none" w:sz="0" w:space="0" w:color="auto"/>
        <w:bottom w:val="none" w:sz="0" w:space="0" w:color="auto"/>
        <w:right w:val="none" w:sz="0" w:space="0" w:color="auto"/>
      </w:divBdr>
    </w:div>
    <w:div w:id="375618364">
      <w:bodyDiv w:val="1"/>
      <w:marLeft w:val="0"/>
      <w:marRight w:val="0"/>
      <w:marTop w:val="0"/>
      <w:marBottom w:val="0"/>
      <w:divBdr>
        <w:top w:val="none" w:sz="0" w:space="0" w:color="auto"/>
        <w:left w:val="none" w:sz="0" w:space="0" w:color="auto"/>
        <w:bottom w:val="none" w:sz="0" w:space="0" w:color="auto"/>
        <w:right w:val="none" w:sz="0" w:space="0" w:color="auto"/>
      </w:divBdr>
    </w:div>
    <w:div w:id="517233306">
      <w:bodyDiv w:val="1"/>
      <w:marLeft w:val="0"/>
      <w:marRight w:val="0"/>
      <w:marTop w:val="0"/>
      <w:marBottom w:val="0"/>
      <w:divBdr>
        <w:top w:val="none" w:sz="0" w:space="0" w:color="auto"/>
        <w:left w:val="none" w:sz="0" w:space="0" w:color="auto"/>
        <w:bottom w:val="none" w:sz="0" w:space="0" w:color="auto"/>
        <w:right w:val="none" w:sz="0" w:space="0" w:color="auto"/>
      </w:divBdr>
    </w:div>
    <w:div w:id="553587837">
      <w:bodyDiv w:val="1"/>
      <w:marLeft w:val="0"/>
      <w:marRight w:val="0"/>
      <w:marTop w:val="0"/>
      <w:marBottom w:val="0"/>
      <w:divBdr>
        <w:top w:val="none" w:sz="0" w:space="0" w:color="auto"/>
        <w:left w:val="none" w:sz="0" w:space="0" w:color="auto"/>
        <w:bottom w:val="none" w:sz="0" w:space="0" w:color="auto"/>
        <w:right w:val="none" w:sz="0" w:space="0" w:color="auto"/>
      </w:divBdr>
    </w:div>
    <w:div w:id="564145529">
      <w:bodyDiv w:val="1"/>
      <w:marLeft w:val="0"/>
      <w:marRight w:val="0"/>
      <w:marTop w:val="0"/>
      <w:marBottom w:val="0"/>
      <w:divBdr>
        <w:top w:val="none" w:sz="0" w:space="0" w:color="auto"/>
        <w:left w:val="none" w:sz="0" w:space="0" w:color="auto"/>
        <w:bottom w:val="none" w:sz="0" w:space="0" w:color="auto"/>
        <w:right w:val="none" w:sz="0" w:space="0" w:color="auto"/>
      </w:divBdr>
    </w:div>
    <w:div w:id="633144606">
      <w:bodyDiv w:val="1"/>
      <w:marLeft w:val="0"/>
      <w:marRight w:val="0"/>
      <w:marTop w:val="0"/>
      <w:marBottom w:val="0"/>
      <w:divBdr>
        <w:top w:val="none" w:sz="0" w:space="0" w:color="auto"/>
        <w:left w:val="none" w:sz="0" w:space="0" w:color="auto"/>
        <w:bottom w:val="none" w:sz="0" w:space="0" w:color="auto"/>
        <w:right w:val="none" w:sz="0" w:space="0" w:color="auto"/>
      </w:divBdr>
    </w:div>
    <w:div w:id="7029421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979205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51371521">
      <w:bodyDiv w:val="1"/>
      <w:marLeft w:val="0"/>
      <w:marRight w:val="0"/>
      <w:marTop w:val="0"/>
      <w:marBottom w:val="0"/>
      <w:divBdr>
        <w:top w:val="none" w:sz="0" w:space="0" w:color="auto"/>
        <w:left w:val="none" w:sz="0" w:space="0" w:color="auto"/>
        <w:bottom w:val="none" w:sz="0" w:space="0" w:color="auto"/>
        <w:right w:val="none" w:sz="0" w:space="0" w:color="auto"/>
      </w:divBdr>
    </w:div>
    <w:div w:id="1554928027">
      <w:bodyDiv w:val="1"/>
      <w:marLeft w:val="0"/>
      <w:marRight w:val="0"/>
      <w:marTop w:val="0"/>
      <w:marBottom w:val="0"/>
      <w:divBdr>
        <w:top w:val="none" w:sz="0" w:space="0" w:color="auto"/>
        <w:left w:val="none" w:sz="0" w:space="0" w:color="auto"/>
        <w:bottom w:val="none" w:sz="0" w:space="0" w:color="auto"/>
        <w:right w:val="none" w:sz="0" w:space="0" w:color="auto"/>
      </w:divBdr>
    </w:div>
    <w:div w:id="1616910084">
      <w:bodyDiv w:val="1"/>
      <w:marLeft w:val="0"/>
      <w:marRight w:val="0"/>
      <w:marTop w:val="0"/>
      <w:marBottom w:val="0"/>
      <w:divBdr>
        <w:top w:val="none" w:sz="0" w:space="0" w:color="auto"/>
        <w:left w:val="none" w:sz="0" w:space="0" w:color="auto"/>
        <w:bottom w:val="none" w:sz="0" w:space="0" w:color="auto"/>
        <w:right w:val="none" w:sz="0" w:space="0" w:color="auto"/>
      </w:divBdr>
    </w:div>
    <w:div w:id="1713460927">
      <w:bodyDiv w:val="1"/>
      <w:marLeft w:val="0"/>
      <w:marRight w:val="0"/>
      <w:marTop w:val="0"/>
      <w:marBottom w:val="0"/>
      <w:divBdr>
        <w:top w:val="none" w:sz="0" w:space="0" w:color="auto"/>
        <w:left w:val="none" w:sz="0" w:space="0" w:color="auto"/>
        <w:bottom w:val="none" w:sz="0" w:space="0" w:color="auto"/>
        <w:right w:val="none" w:sz="0" w:space="0" w:color="auto"/>
      </w:divBdr>
    </w:div>
    <w:div w:id="2118064628">
      <w:bodyDiv w:val="1"/>
      <w:marLeft w:val="0"/>
      <w:marRight w:val="0"/>
      <w:marTop w:val="0"/>
      <w:marBottom w:val="0"/>
      <w:divBdr>
        <w:top w:val="none" w:sz="0" w:space="0" w:color="auto"/>
        <w:left w:val="none" w:sz="0" w:space="0" w:color="auto"/>
        <w:bottom w:val="none" w:sz="0" w:space="0" w:color="auto"/>
        <w:right w:val="none" w:sz="0" w:space="0" w:color="auto"/>
      </w:divBdr>
    </w:div>
    <w:div w:id="213532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6/LSout/R2-2405767.zip" TargetMode="External"/><Relationship Id="rId18" Type="http://schemas.openxmlformats.org/officeDocument/2006/relationships/hyperlink" Target="https://www.3gpp.org/ftp/Specs/archive/38_series/38.306/38306-i30.zip"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8/Inbox/Agenda/R1-2405780.zip"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3gpp.org/ftp/TSG_RAN/WG1_RL1/TSGR1_116b/Docs/R1-2401937.zip" TargetMode="External"/><Relationship Id="rId20" Type="http://schemas.openxmlformats.org/officeDocument/2006/relationships/hyperlink" Target="https://www.3gpp.org/ftp/tsg_ran/WG2_RL2/TSGR2_128/Docs/R2-2409502"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Meetings_3GPP_SYNC/RAN1/Inbox/R1-2407538.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Meetings_3GPP_SYNC/RAN1/Inbox/R1-2407538.zip"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RBI5PAMIO524-1616901215-33794</_dlc_DocId>
    <_dlc_DocIdUrl xmlns="71c5aaf6-e6ce-465b-b873-5148d2a4c105">
      <Url>https://nokia.sharepoint.com/sites/gxp/_layouts/15/DocIdRedir.aspx?ID=RBI5PAMIO524-1616901215-33794</Url>
      <Description>RBI5PAMIO524-1616901215-33794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35501F2B-0398-4D78-977E-3A3340E4DCDF}">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2639</TotalTime>
  <Pages>6</Pages>
  <Words>3072</Words>
  <Characters>17516</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20547</CharactersWithSpaces>
  <SharedDoc>false</SharedDoc>
  <HyperlinkBase/>
  <HLinks>
    <vt:vector size="36" baseType="variant">
      <vt:variant>
        <vt:i4>6946831</vt:i4>
      </vt:variant>
      <vt:variant>
        <vt:i4>15</vt:i4>
      </vt:variant>
      <vt:variant>
        <vt:i4>0</vt:i4>
      </vt:variant>
      <vt:variant>
        <vt:i4>5</vt:i4>
      </vt:variant>
      <vt:variant>
        <vt:lpwstr>https://www.3gpp.org/ftp/Specs/archive/38_series/38.306/38306-i30.zip</vt:lpwstr>
      </vt:variant>
      <vt:variant>
        <vt:lpwstr/>
      </vt:variant>
      <vt:variant>
        <vt:i4>6422549</vt:i4>
      </vt:variant>
      <vt:variant>
        <vt:i4>12</vt:i4>
      </vt:variant>
      <vt:variant>
        <vt:i4>0</vt:i4>
      </vt:variant>
      <vt:variant>
        <vt:i4>5</vt:i4>
      </vt:variant>
      <vt:variant>
        <vt:lpwstr>https://www.3gpp.org/ftp/tsg_ran/WG1_RL1/TSGR1_118/Inbox/Agenda/R1-2405780.zip</vt:lpwstr>
      </vt:variant>
      <vt:variant>
        <vt:lpwstr/>
      </vt:variant>
      <vt:variant>
        <vt:i4>7536720</vt:i4>
      </vt:variant>
      <vt:variant>
        <vt:i4>9</vt:i4>
      </vt:variant>
      <vt:variant>
        <vt:i4>0</vt:i4>
      </vt:variant>
      <vt:variant>
        <vt:i4>5</vt:i4>
      </vt:variant>
      <vt:variant>
        <vt:lpwstr>https://www.3gpp.org/ftp/TSG_RAN/WG1_RL1/TSGR1_116b/Docs/R1-2401937.zip</vt:lpwstr>
      </vt:variant>
      <vt:variant>
        <vt:lpwstr/>
      </vt:variant>
      <vt:variant>
        <vt:i4>3539064</vt:i4>
      </vt:variant>
      <vt:variant>
        <vt:i4>6</vt:i4>
      </vt:variant>
      <vt:variant>
        <vt:i4>0</vt:i4>
      </vt:variant>
      <vt:variant>
        <vt:i4>5</vt:i4>
      </vt:variant>
      <vt:variant>
        <vt:lpwstr>https://www.3gpp.org/ftp/Meetings_3GPP_SYNC/RAN1/Inbox/R1-2407538.zip</vt:lpwstr>
      </vt:variant>
      <vt:variant>
        <vt:lpwstr/>
      </vt:variant>
      <vt:variant>
        <vt:i4>3539064</vt:i4>
      </vt:variant>
      <vt:variant>
        <vt:i4>3</vt:i4>
      </vt:variant>
      <vt:variant>
        <vt:i4>0</vt:i4>
      </vt:variant>
      <vt:variant>
        <vt:i4>5</vt:i4>
      </vt:variant>
      <vt:variant>
        <vt:lpwstr>https://www.3gpp.org/ftp/Meetings_3GPP_SYNC/RAN1/Inbox/R1-2407538.zip</vt:lpwstr>
      </vt:variant>
      <vt:variant>
        <vt:lpwstr/>
      </vt:variant>
      <vt:variant>
        <vt:i4>3473426</vt:i4>
      </vt:variant>
      <vt:variant>
        <vt:i4>0</vt:i4>
      </vt:variant>
      <vt:variant>
        <vt:i4>0</vt:i4>
      </vt:variant>
      <vt:variant>
        <vt:i4>5</vt:i4>
      </vt:variant>
      <vt:variant>
        <vt:lpwstr>https://www.3gpp.org/ftp/tsg_ran/WG2_RL2/TSGR2_126/LSout/R2-2405767.zip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3</cp:revision>
  <dcterms:created xsi:type="dcterms:W3CDTF">2016-08-13T16:53:00Z</dcterms:created>
  <dcterms:modified xsi:type="dcterms:W3CDTF">2024-11-07T19:09:00Z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e1792ee9-0aa1-423d-945f-7da086671355</vt:lpwstr>
  </property>
</Properties>
</file>